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65" w:rsidRDefault="006F0D20" w:rsidP="00B60D65">
      <w:pPr>
        <w:spacing w:line="580" w:lineRule="exact"/>
        <w:ind w:firstLineChars="150" w:firstLine="660"/>
        <w:rPr>
          <w:rFonts w:ascii="方正小标宋简体" w:eastAsia="方正小标宋简体" w:hAnsi="黑体" w:hint="eastAsia"/>
          <w:sz w:val="44"/>
          <w:szCs w:val="44"/>
        </w:rPr>
      </w:pPr>
      <w:r w:rsidRPr="00A21C7B">
        <w:rPr>
          <w:rFonts w:ascii="方正小标宋简体" w:eastAsia="方正小标宋简体" w:hAnsi="黑体" w:hint="eastAsia"/>
          <w:sz w:val="44"/>
          <w:szCs w:val="44"/>
        </w:rPr>
        <w:t>望花区废旧物资回收“10.29”安全生产</w:t>
      </w:r>
    </w:p>
    <w:p w:rsidR="004F2A8A" w:rsidRPr="00A21C7B" w:rsidRDefault="006F0D20" w:rsidP="00B60D65">
      <w:pPr>
        <w:spacing w:line="580" w:lineRule="exact"/>
        <w:ind w:firstLineChars="550" w:firstLine="2420"/>
        <w:rPr>
          <w:rFonts w:ascii="方正小标宋简体" w:eastAsia="方正小标宋简体" w:hAnsi="黑体"/>
          <w:sz w:val="44"/>
          <w:szCs w:val="44"/>
        </w:rPr>
      </w:pPr>
      <w:r w:rsidRPr="00A21C7B">
        <w:rPr>
          <w:rFonts w:ascii="方正小标宋简体" w:eastAsia="方正小标宋简体" w:hAnsi="黑体" w:hint="eastAsia"/>
          <w:sz w:val="44"/>
          <w:szCs w:val="44"/>
        </w:rPr>
        <w:t>火灾事故调查报告</w:t>
      </w:r>
    </w:p>
    <w:p w:rsidR="00A21C7B" w:rsidRDefault="00A21C7B" w:rsidP="00FE39CA">
      <w:pPr>
        <w:spacing w:line="360" w:lineRule="auto"/>
        <w:ind w:left="59" w:firstLine="640"/>
        <w:rPr>
          <w:rFonts w:ascii="仿宋" w:eastAsia="仿宋" w:hAnsi="仿宋"/>
          <w:bCs/>
          <w:sz w:val="32"/>
          <w:szCs w:val="32"/>
        </w:rPr>
      </w:pPr>
    </w:p>
    <w:p w:rsidR="004F2A8A" w:rsidRDefault="006F0D20" w:rsidP="00FE39CA">
      <w:pPr>
        <w:spacing w:line="360" w:lineRule="auto"/>
        <w:ind w:left="59" w:firstLine="640"/>
        <w:rPr>
          <w:rFonts w:ascii="仿宋" w:eastAsia="仿宋" w:hAnsi="仿宋"/>
          <w:bCs/>
          <w:sz w:val="32"/>
          <w:szCs w:val="32"/>
        </w:rPr>
      </w:pPr>
      <w:r>
        <w:rPr>
          <w:rFonts w:ascii="仿宋" w:eastAsia="仿宋" w:hAnsi="仿宋" w:hint="eastAsia"/>
          <w:bCs/>
          <w:sz w:val="32"/>
          <w:szCs w:val="32"/>
        </w:rPr>
        <w:t>2023年10月29日11时，在位于抚顺市望花区鞍山路西段54号的中科顺辉（辽宁）生物科技有限公司一闲置厂房内，因拆卸废旧设备时产生火花引燃设备内残留可燃气体引发火灾，造成一人死亡的一般生产安全事故。</w:t>
      </w:r>
    </w:p>
    <w:p w:rsidR="004F2A8A" w:rsidRDefault="006F0D20" w:rsidP="00FE39CA">
      <w:pPr>
        <w:spacing w:line="360" w:lineRule="auto"/>
        <w:ind w:left="59" w:firstLine="640"/>
        <w:rPr>
          <w:rFonts w:ascii="仿宋" w:eastAsia="仿宋" w:hAnsi="仿宋"/>
          <w:sz w:val="32"/>
          <w:szCs w:val="32"/>
        </w:rPr>
      </w:pPr>
      <w:r>
        <w:rPr>
          <w:rFonts w:ascii="仿宋" w:eastAsia="仿宋" w:hAnsi="仿宋" w:hint="eastAsia"/>
          <w:sz w:val="32"/>
          <w:szCs w:val="32"/>
        </w:rPr>
        <w:t>事故发生后，望花区人民政府依据相关法律法规，成立了以区应急局牵头，区公安分局、区总工会组成的</w:t>
      </w:r>
      <w:r>
        <w:rPr>
          <w:rFonts w:ascii="仿宋" w:eastAsia="仿宋" w:hAnsi="仿宋" w:hint="eastAsia"/>
          <w:bCs/>
          <w:sz w:val="32"/>
          <w:szCs w:val="32"/>
        </w:rPr>
        <w:t>望花区废旧物资回收“10.29”安全生产火灾事故调查</w:t>
      </w:r>
      <w:r>
        <w:rPr>
          <w:rFonts w:ascii="仿宋" w:eastAsia="仿宋" w:hAnsi="仿宋" w:hint="eastAsia"/>
          <w:sz w:val="32"/>
          <w:szCs w:val="32"/>
        </w:rPr>
        <w:t>组（以下简称“事故调查组”），开展事故调查工作，事故调查组聘请了有关专家参与调查</w:t>
      </w:r>
      <w:bookmarkStart w:id="0" w:name="_GoBack"/>
      <w:bookmarkEnd w:id="0"/>
      <w:r>
        <w:rPr>
          <w:rFonts w:ascii="仿宋" w:eastAsia="仿宋" w:hAnsi="仿宋" w:hint="eastAsia"/>
          <w:sz w:val="32"/>
          <w:szCs w:val="32"/>
        </w:rPr>
        <w:t>。</w:t>
      </w:r>
    </w:p>
    <w:p w:rsidR="004F2A8A" w:rsidRDefault="006F0D20" w:rsidP="00FE39CA">
      <w:pPr>
        <w:spacing w:line="360" w:lineRule="auto"/>
        <w:ind w:left="59" w:firstLine="640"/>
        <w:rPr>
          <w:rFonts w:ascii="仿宋" w:eastAsia="仿宋" w:hAnsi="仿宋"/>
          <w:color w:val="000000"/>
          <w:sz w:val="32"/>
          <w:szCs w:val="32"/>
        </w:rPr>
      </w:pPr>
      <w:r>
        <w:rPr>
          <w:rFonts w:ascii="仿宋" w:eastAsia="仿宋" w:hAnsi="仿宋" w:hint="eastAsia"/>
          <w:sz w:val="32"/>
          <w:szCs w:val="32"/>
        </w:rPr>
        <w:t>事故调查组坚持“科学严谨、依法依规、实事求是、注重实效”的原则和“四不放过”的要求，通过</w:t>
      </w:r>
      <w:r>
        <w:rPr>
          <w:rFonts w:ascii="仿宋" w:eastAsia="仿宋" w:hAnsi="仿宋" w:hint="eastAsia"/>
          <w:color w:val="000000"/>
          <w:sz w:val="32"/>
          <w:szCs w:val="32"/>
        </w:rPr>
        <w:t>现场勘察、</w:t>
      </w:r>
      <w:r>
        <w:rPr>
          <w:rFonts w:ascii="仿宋" w:eastAsia="仿宋" w:hAnsi="仿宋" w:hint="eastAsia"/>
          <w:sz w:val="32"/>
          <w:szCs w:val="32"/>
        </w:rPr>
        <w:t>查阅资料、</w:t>
      </w:r>
      <w:r>
        <w:rPr>
          <w:rFonts w:ascii="仿宋" w:eastAsia="仿宋" w:hAnsi="仿宋" w:hint="eastAsia"/>
          <w:color w:val="000000"/>
          <w:sz w:val="32"/>
          <w:szCs w:val="32"/>
        </w:rPr>
        <w:t>对相关人员询问、收集有关物证、书证</w:t>
      </w:r>
      <w:r>
        <w:rPr>
          <w:rFonts w:ascii="仿宋" w:eastAsia="仿宋" w:hAnsi="仿宋" w:hint="eastAsia"/>
          <w:sz w:val="32"/>
          <w:szCs w:val="32"/>
        </w:rPr>
        <w:t>，查清了事故发生的经过、原因和应急处置情况，认定了事故的性质和责任，</w:t>
      </w:r>
      <w:r>
        <w:rPr>
          <w:rFonts w:ascii="仿宋" w:eastAsia="仿宋" w:hAnsi="仿宋" w:hint="eastAsia"/>
          <w:color w:val="000000"/>
          <w:sz w:val="32"/>
          <w:szCs w:val="32"/>
        </w:rPr>
        <w:t>提出了对有关责任人、责任单位的处理建议，事故防范及整改措施。</w:t>
      </w:r>
    </w:p>
    <w:p w:rsidR="004F2A8A" w:rsidRDefault="006F0D20" w:rsidP="00FE39CA">
      <w:pPr>
        <w:spacing w:line="360" w:lineRule="auto"/>
        <w:ind w:left="59" w:firstLine="640"/>
        <w:rPr>
          <w:rFonts w:ascii="仿宋" w:eastAsia="仿宋" w:hAnsi="仿宋"/>
          <w:sz w:val="32"/>
          <w:szCs w:val="32"/>
        </w:rPr>
      </w:pPr>
      <w:r>
        <w:rPr>
          <w:rFonts w:ascii="仿宋" w:eastAsia="仿宋" w:hAnsi="仿宋" w:hint="eastAsia"/>
          <w:sz w:val="32"/>
          <w:szCs w:val="32"/>
        </w:rPr>
        <w:t>经调查认定，这是一起因物资回收人员严重违规违章作业导致发生火灾的生产安全责任事故。现将有关情况报告如下：</w:t>
      </w:r>
    </w:p>
    <w:p w:rsidR="004F2A8A" w:rsidRPr="00A21C7B" w:rsidRDefault="006F0D20" w:rsidP="00FE0477">
      <w:pPr>
        <w:autoSpaceDE w:val="0"/>
        <w:autoSpaceDN w:val="0"/>
        <w:adjustRightInd w:val="0"/>
        <w:ind w:firstLineChars="250" w:firstLine="800"/>
        <w:rPr>
          <w:rFonts w:ascii="黑体" w:eastAsia="黑体" w:hAnsi="黑体"/>
          <w:bCs/>
          <w:sz w:val="32"/>
          <w:szCs w:val="32"/>
        </w:rPr>
      </w:pPr>
      <w:r w:rsidRPr="00A21C7B">
        <w:rPr>
          <w:rFonts w:ascii="黑体" w:eastAsia="黑体" w:hAnsi="黑体" w:hint="eastAsia"/>
          <w:bCs/>
          <w:sz w:val="32"/>
          <w:szCs w:val="32"/>
        </w:rPr>
        <w:t>一、基本情况</w:t>
      </w:r>
    </w:p>
    <w:p w:rsidR="004F2A8A" w:rsidRPr="00FE39CA" w:rsidRDefault="006F0D20" w:rsidP="00FE39CA">
      <w:pPr>
        <w:spacing w:line="360" w:lineRule="auto"/>
        <w:ind w:left="59" w:firstLine="643"/>
        <w:rPr>
          <w:rFonts w:ascii="楷体_GB2312" w:eastAsia="楷体_GB2312" w:hAnsi="仿宋"/>
          <w:b/>
          <w:sz w:val="32"/>
          <w:szCs w:val="32"/>
        </w:rPr>
      </w:pPr>
      <w:r w:rsidRPr="00FE39CA">
        <w:rPr>
          <w:rFonts w:ascii="楷体_GB2312" w:eastAsia="楷体_GB2312" w:hAnsi="仿宋" w:hint="eastAsia"/>
          <w:b/>
          <w:sz w:val="32"/>
          <w:szCs w:val="32"/>
        </w:rPr>
        <w:t>(一)事故单位基本情况</w:t>
      </w:r>
    </w:p>
    <w:p w:rsidR="004F2A8A" w:rsidRDefault="006F0D20">
      <w:pPr>
        <w:ind w:firstLineChars="200" w:firstLine="643"/>
        <w:rPr>
          <w:rFonts w:ascii="仿宋" w:eastAsia="仿宋" w:hAnsi="仿宋" w:cs="仿宋"/>
          <w:b/>
          <w:sz w:val="32"/>
          <w:szCs w:val="32"/>
        </w:rPr>
      </w:pPr>
      <w:r>
        <w:rPr>
          <w:rFonts w:ascii="仿宋" w:eastAsia="仿宋" w:hAnsi="仿宋" w:cs="仿宋" w:hint="eastAsia"/>
          <w:b/>
          <w:sz w:val="32"/>
          <w:szCs w:val="32"/>
        </w:rPr>
        <w:t>1.中科顺辉（辽宁）生物科技有限公司相关情况</w:t>
      </w:r>
    </w:p>
    <w:p w:rsidR="004F2A8A" w:rsidRDefault="00FE0477" w:rsidP="00FE39CA">
      <w:pPr>
        <w:ind w:firstLine="640"/>
        <w:rPr>
          <w:rFonts w:ascii="仿宋" w:eastAsia="仿宋" w:hAnsi="仿宋" w:cs="仿宋"/>
          <w:sz w:val="32"/>
          <w:szCs w:val="32"/>
        </w:rPr>
      </w:pPr>
      <w:r>
        <w:rPr>
          <w:rFonts w:ascii="仿宋" w:eastAsia="仿宋" w:hAnsi="仿宋" w:cs="仿宋" w:hint="eastAsia"/>
          <w:sz w:val="32"/>
          <w:szCs w:val="32"/>
        </w:rPr>
        <w:t xml:space="preserve"> </w:t>
      </w:r>
      <w:r w:rsidR="006F0D20">
        <w:rPr>
          <w:rFonts w:ascii="仿宋" w:eastAsia="仿宋" w:hAnsi="仿宋" w:cs="仿宋" w:hint="eastAsia"/>
          <w:sz w:val="32"/>
          <w:szCs w:val="32"/>
        </w:rPr>
        <w:t>中科顺辉（辽宁）生物科技有限公司（以下简称中科顺辉公</w:t>
      </w:r>
      <w:r w:rsidR="006F0D20">
        <w:rPr>
          <w:rFonts w:ascii="仿宋" w:eastAsia="仿宋" w:hAnsi="仿宋" w:cs="仿宋" w:hint="eastAsia"/>
          <w:sz w:val="32"/>
          <w:szCs w:val="32"/>
        </w:rPr>
        <w:lastRenderedPageBreak/>
        <w:t>司），成立于2013年1月15日，法人：刘颖刚，实际控制人：郭炽良，注册资本：人民币捌佰万元，地址：抚顺市望花区鞍山路西段54号，经营范围：许可项目：食品添加剂生产，饲料添加剂生产；一般项目；生物化工产品技术研发，技术服务、技术开发、技术咨询、技术交流、技术转让、技术推广等，专用化学产品制造（不含危险化学品），化工产品生产（不含许可类化工产品），化工产品销售（不含许可类化工产品）。2017年中科顺辉公司与抚顺益同生物科技有限公司拟开展合作，抚顺益同生物科技有限公司负责提供技术人员及资金，中科顺辉公司提供厂地、及设备、原料采购，拟生产医药中间体对羟基苯磺酸钠。2018年中科顺辉公司因环保问题停产，拟与抚顺益同生物科技有限公司的合作终止，至2023年中科顺辉公司已无法复产，企业设施设备开始拆卸变卖。</w:t>
      </w:r>
    </w:p>
    <w:p w:rsidR="004F2A8A" w:rsidRDefault="006F0D20">
      <w:pPr>
        <w:ind w:firstLineChars="200" w:firstLine="643"/>
        <w:rPr>
          <w:rFonts w:ascii="仿宋" w:eastAsia="仿宋" w:hAnsi="仿宋" w:cs="仿宋"/>
          <w:b/>
          <w:sz w:val="32"/>
          <w:szCs w:val="32"/>
        </w:rPr>
      </w:pPr>
      <w:r>
        <w:rPr>
          <w:rFonts w:ascii="仿宋" w:eastAsia="仿宋" w:hAnsi="仿宋" w:cs="仿宋" w:hint="eastAsia"/>
          <w:b/>
          <w:sz w:val="32"/>
          <w:szCs w:val="32"/>
        </w:rPr>
        <w:t>2.抚顺益同生物科技有限公司相关情况</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抚顺益同生物科技有限公司（以下简称益同生物公司），成立于2015年11月18日，法人：张翎（张博峰妻子），实际控制人：张博峰，注册资本：人民币叁佰万元，地址：辽宁省抚顺开发区彰武路6号和美家园28-3-201，经营范围：生物制品的研发、销售，、化工原料（除危险化学品）销售，化工产品技术研发、销售（除危险化学品）、化工设备及配件、玻璃仪器销售。2020年3月31日，该公司已注销。2017年益同生物公司与中科顺辉公司拟开展生产项目合作，生产化工产品（对羟基苯磺酸钠），2018年中科顺辉公司停产，该项目合作未能达成。益同生物公司的相关设备一直存放在中科顺辉公司厂区东南侧厂房内。</w:t>
      </w:r>
    </w:p>
    <w:p w:rsidR="004F2A8A" w:rsidRPr="00FE39CA" w:rsidRDefault="006F0D20" w:rsidP="00FE39CA">
      <w:pPr>
        <w:ind w:firstLine="640"/>
        <w:rPr>
          <w:rFonts w:ascii="楷体_GB2312" w:eastAsia="楷体_GB2312" w:hAnsi="仿宋" w:cs="仿宋"/>
          <w:b/>
          <w:sz w:val="32"/>
          <w:szCs w:val="32"/>
        </w:rPr>
      </w:pPr>
      <w:r w:rsidRPr="00FE39CA">
        <w:rPr>
          <w:rFonts w:ascii="楷体_GB2312" w:eastAsia="楷体_GB2312" w:hAnsi="仿宋" w:cs="仿宋" w:hint="eastAsia"/>
          <w:b/>
          <w:sz w:val="32"/>
          <w:szCs w:val="32"/>
        </w:rPr>
        <w:t>（二）事故发生有关情况</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事故发生前一周，中科顺辉公司负责人郭炽良给张博峰打电话，告知中科顺辉公司设备已在拆除当中，让张博峰将存放在中科顺辉公司的设施设备拆走，张博峰表示将尽快找人将设备拆走。事发前3天，张博峰将程允伦、郝玉顺带到中科顺辉公司交待需要拆卸的东西（3年前，张博峰以个人名益向程允伦借款3万元，双方达成口头协议，此次拆卸的废旧设备用以抵扣借款，折价后多退少补），并交待要遵守中科顺辉公司的相关规定不可以动火拆卸。10月29日上午8时30分左右，程允伦和郝玉顺来到中科顺辉公司东南角的废旧厂房内拆卸张博峰存放的废旧设备。拆卸前，中科顺辉公司厂内留守人员赵庆久告知程允伦和郝玉顺不能动火拆卸，因现场有一白色空塑料罐内承经存放过易燃易爆化学品丙烯酸甲酯，拆卸只能用手锯进行切豁。后程允伦给张博峰打电话核实此事，张博峰表示情况属实，并要求注意安全。张博峰本人没有到场，也没有指派人员对现场进行监管。程允伦随后表示不会用电焊进行拆卸作业。中科顺辉公司留守人员赵庆久在交待完后，也离开了现场，没有对拆卸过程进行监护。程允伦与郝玉顺先用角磨机拆卸白钢管线，在拆卸电机时发现拆卸困难，在程允伦将拆完的管线拿到厂房外时，郝玉顺拿着电焊切豁枪进到厂房内对电机进行切割，切割瞬间引燃从白色塑料罐内溢出的可燃性挥发气体，发生闪燃，火势瞬间将郝玉顺吞没，程允伦想回去进行救援，可火势太大无法靠近，并被赶来的中科顺辉公司留守人员赵庆久拦住，随后厂内人员拨打了119火警救援电话。</w:t>
      </w:r>
    </w:p>
    <w:p w:rsidR="004F2A8A" w:rsidRPr="00FE39CA" w:rsidRDefault="006F0D20" w:rsidP="00FE39CA">
      <w:pPr>
        <w:ind w:firstLine="640"/>
        <w:rPr>
          <w:rFonts w:ascii="楷体_GB2312" w:eastAsia="楷体_GB2312" w:hAnsi="仿宋" w:cs="仿宋"/>
          <w:b/>
          <w:sz w:val="32"/>
          <w:szCs w:val="32"/>
        </w:rPr>
      </w:pPr>
      <w:r w:rsidRPr="00FE39CA">
        <w:rPr>
          <w:rFonts w:ascii="楷体_GB2312" w:eastAsia="楷体_GB2312" w:hAnsi="仿宋" w:cs="仿宋" w:hint="eastAsia"/>
          <w:b/>
          <w:sz w:val="32"/>
          <w:szCs w:val="32"/>
        </w:rPr>
        <w:t>（三）事故现场情况</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程允伦与郝玉顺先在厂房内拆卸与塑料储罐相连的白钢管线，在将所有管线拆卸完毕后，开始拆卸电机，因始终无法卸拆下来，后郝玉顺拿火焊枪预对电机进行切割，切割瞬间引发闪燃起火。经查，程允伦与郝玉顺均无火焊切割特种作业操作资格，郝玉顺使用火焊切割属于违章违规作业。</w:t>
      </w:r>
    </w:p>
    <w:p w:rsidR="004F2A8A" w:rsidRDefault="006F0D20" w:rsidP="00FE39CA">
      <w:pPr>
        <w:ind w:firstLine="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5669280" cy="4627245"/>
            <wp:effectExtent l="0" t="0" r="7620" b="1905"/>
            <wp:docPr id="4" name="图片 4" descr="微信图片_2024011914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19143934"/>
                    <pic:cNvPicPr>
                      <a:picLocks noChangeAspect="1"/>
                    </pic:cNvPicPr>
                  </pic:nvPicPr>
                  <pic:blipFill>
                    <a:blip r:embed="rId7"/>
                    <a:stretch>
                      <a:fillRect/>
                    </a:stretch>
                  </pic:blipFill>
                  <pic:spPr>
                    <a:xfrm>
                      <a:off x="0" y="0"/>
                      <a:ext cx="5673513" cy="4629362"/>
                    </a:xfrm>
                    <a:prstGeom prst="rect">
                      <a:avLst/>
                    </a:prstGeom>
                  </pic:spPr>
                </pic:pic>
              </a:graphicData>
            </a:graphic>
          </wp:inline>
        </w:drawing>
      </w:r>
    </w:p>
    <w:p w:rsidR="004F2A8A" w:rsidRDefault="006F0D20" w:rsidP="00FE39CA">
      <w:pPr>
        <w:ind w:firstLine="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5269865" cy="3901440"/>
            <wp:effectExtent l="0" t="0" r="6985" b="3810"/>
            <wp:docPr id="5" name="图片 5" descr="微信图片_2024011914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19143939"/>
                    <pic:cNvPicPr>
                      <a:picLocks noChangeAspect="1"/>
                    </pic:cNvPicPr>
                  </pic:nvPicPr>
                  <pic:blipFill>
                    <a:blip r:embed="rId8"/>
                    <a:stretch>
                      <a:fillRect/>
                    </a:stretch>
                  </pic:blipFill>
                  <pic:spPr>
                    <a:xfrm>
                      <a:off x="0" y="0"/>
                      <a:ext cx="5267748" cy="3899323"/>
                    </a:xfrm>
                    <a:prstGeom prst="rect">
                      <a:avLst/>
                    </a:prstGeom>
                  </pic:spPr>
                </pic:pic>
              </a:graphicData>
            </a:graphic>
          </wp:inline>
        </w:drawing>
      </w:r>
    </w:p>
    <w:p w:rsidR="004F2A8A" w:rsidRDefault="004F2A8A" w:rsidP="00FE39CA">
      <w:pPr>
        <w:ind w:firstLine="640"/>
        <w:rPr>
          <w:rFonts w:ascii="仿宋" w:eastAsia="仿宋" w:hAnsi="仿宋" w:cs="仿宋"/>
          <w:sz w:val="32"/>
          <w:szCs w:val="32"/>
        </w:rPr>
      </w:pPr>
    </w:p>
    <w:p w:rsidR="004F2A8A" w:rsidRDefault="006F0D20" w:rsidP="00FE39CA">
      <w:pPr>
        <w:ind w:firstLine="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5269865" cy="3865245"/>
            <wp:effectExtent l="0" t="0" r="6985" b="1905"/>
            <wp:docPr id="6" name="图片 6" descr="微信图片_2024011914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19143945"/>
                    <pic:cNvPicPr>
                      <a:picLocks noChangeAspect="1"/>
                    </pic:cNvPicPr>
                  </pic:nvPicPr>
                  <pic:blipFill>
                    <a:blip r:embed="rId9"/>
                    <a:stretch>
                      <a:fillRect/>
                    </a:stretch>
                  </pic:blipFill>
                  <pic:spPr>
                    <a:xfrm>
                      <a:off x="0" y="0"/>
                      <a:ext cx="5269865" cy="3865245"/>
                    </a:xfrm>
                    <a:prstGeom prst="rect">
                      <a:avLst/>
                    </a:prstGeom>
                  </pic:spPr>
                </pic:pic>
              </a:graphicData>
            </a:graphic>
          </wp:inline>
        </w:drawing>
      </w:r>
    </w:p>
    <w:p w:rsidR="004F2A8A" w:rsidRDefault="004F2A8A" w:rsidP="00FE39CA">
      <w:pPr>
        <w:ind w:firstLine="640"/>
        <w:rPr>
          <w:rFonts w:ascii="仿宋" w:eastAsia="仿宋" w:hAnsi="仿宋" w:cs="仿宋"/>
          <w:sz w:val="32"/>
          <w:szCs w:val="32"/>
        </w:rPr>
      </w:pPr>
    </w:p>
    <w:p w:rsidR="004F2A8A" w:rsidRPr="00FE39CA" w:rsidRDefault="006F0D20" w:rsidP="00FE39CA">
      <w:pPr>
        <w:ind w:firstLine="640"/>
        <w:rPr>
          <w:rFonts w:ascii="黑体" w:eastAsia="黑体" w:hAnsi="黑体" w:cs="仿宋"/>
          <w:sz w:val="32"/>
          <w:szCs w:val="32"/>
        </w:rPr>
      </w:pPr>
      <w:r w:rsidRPr="00FE39CA">
        <w:rPr>
          <w:rFonts w:ascii="黑体" w:eastAsia="黑体" w:hAnsi="黑体" w:cs="仿宋" w:hint="eastAsia"/>
          <w:sz w:val="32"/>
          <w:szCs w:val="32"/>
        </w:rPr>
        <w:t>二、事故经过及救援情况</w:t>
      </w:r>
    </w:p>
    <w:p w:rsidR="00FE39CA" w:rsidRDefault="006F0D20" w:rsidP="00FE39CA">
      <w:pPr>
        <w:ind w:firstLine="640"/>
        <w:rPr>
          <w:rFonts w:ascii="仿宋" w:eastAsia="仿宋" w:hAnsi="仿宋" w:cs="仿宋"/>
          <w:sz w:val="32"/>
          <w:szCs w:val="32"/>
        </w:rPr>
      </w:pPr>
      <w:r>
        <w:rPr>
          <w:rFonts w:ascii="仿宋" w:eastAsia="仿宋" w:hAnsi="仿宋" w:cs="仿宋" w:hint="eastAsia"/>
          <w:sz w:val="32"/>
          <w:szCs w:val="32"/>
        </w:rPr>
        <w:t>10月29日，上午8时30分左右，程允伦与郝玉顺受张博峰指派到中科顺辉公司厂区东南角的厂房内拆卸留存在里面的管线设备。中科顺辉公司留守人员赵庆久告知两人不能动火进行拆卸后，程允伦与郝玉顺从8时30分至10时30分用角磨机将连在电机和空塑料储罐上的白钢管线全部拆卸完毕。随后在拆卸电机时，始终无法将电机拆卸下来。11时左右，程允伦将折卸完的管线移出厂房时，郝玉顺不顾之前警告，拿火焊枪进入厂房内对电机进行切割，瞬间引燃从白色塑料储罐内挥发出的可燃性气体，闪燃火势瞬间将郝玉顺吞没，郝玉顺呼救，程允伦想进入对其进行救援，可火势太大无法靠近。这时，中科顺辉公司留守人员赵庆久赶到现场，拦住了程允伦的再次施救行为，厂内的其他人员拨打了119火警救援电话。大约20分钟后消防救援队赶到现场并展开灭火救援，火被扑灭后，经现场确认，郝玉顺已当场死亡。</w:t>
      </w:r>
    </w:p>
    <w:p w:rsidR="004F2A8A" w:rsidRPr="00FE39CA" w:rsidRDefault="006F0D20" w:rsidP="00FE39CA">
      <w:pPr>
        <w:ind w:firstLine="640"/>
        <w:rPr>
          <w:rFonts w:ascii="黑体" w:eastAsia="黑体" w:hAnsi="黑体" w:cs="仿宋"/>
          <w:sz w:val="32"/>
          <w:szCs w:val="32"/>
        </w:rPr>
      </w:pPr>
      <w:r w:rsidRPr="00FE39CA">
        <w:rPr>
          <w:rFonts w:ascii="黑体" w:eastAsia="黑体" w:hAnsi="黑体" w:cs="黑体" w:hint="eastAsia"/>
          <w:bCs/>
          <w:kern w:val="1"/>
          <w:sz w:val="32"/>
          <w:szCs w:val="32"/>
        </w:rPr>
        <w:t>三、事故造成的人员伤亡和直接经济损失</w:t>
      </w:r>
    </w:p>
    <w:tbl>
      <w:tblPr>
        <w:tblW w:w="8237" w:type="dxa"/>
        <w:tblInd w:w="151" w:type="dxa"/>
        <w:tblLook w:val="04A0"/>
      </w:tblPr>
      <w:tblGrid>
        <w:gridCol w:w="1290"/>
        <w:gridCol w:w="760"/>
        <w:gridCol w:w="950"/>
        <w:gridCol w:w="1280"/>
        <w:gridCol w:w="1230"/>
        <w:gridCol w:w="1490"/>
        <w:gridCol w:w="1237"/>
      </w:tblGrid>
      <w:tr w:rsidR="004F2A8A">
        <w:tc>
          <w:tcPr>
            <w:tcW w:w="1290" w:type="dxa"/>
            <w:tcBorders>
              <w:top w:val="single" w:sz="12" w:space="0" w:color="000000"/>
              <w:left w:val="single" w:sz="12" w:space="0" w:color="000000"/>
              <w:bottom w:val="single" w:sz="4" w:space="0" w:color="000000"/>
              <w:right w:val="single" w:sz="4" w:space="0" w:color="000000"/>
            </w:tcBorders>
            <w:vAlign w:val="center"/>
          </w:tcPr>
          <w:p w:rsidR="004F2A8A" w:rsidRDefault="006F0D20" w:rsidP="00FE0477">
            <w:pPr>
              <w:spacing w:line="360" w:lineRule="auto"/>
              <w:ind w:left="-420" w:firstLine="640"/>
              <w:rPr>
                <w:rFonts w:ascii="仿宋" w:eastAsia="仿宋" w:hAnsi="仿宋" w:cs="仿宋_GB2312"/>
                <w:kern w:val="1"/>
                <w:sz w:val="32"/>
                <w:szCs w:val="32"/>
              </w:rPr>
            </w:pPr>
            <w:r>
              <w:rPr>
                <w:rFonts w:ascii="仿宋" w:eastAsia="仿宋" w:hAnsi="仿宋" w:cs="仿宋_GB2312" w:hint="eastAsia"/>
                <w:kern w:val="1"/>
                <w:sz w:val="32"/>
                <w:szCs w:val="32"/>
              </w:rPr>
              <w:t>姓名</w:t>
            </w:r>
          </w:p>
        </w:tc>
        <w:tc>
          <w:tcPr>
            <w:tcW w:w="760" w:type="dxa"/>
            <w:tcBorders>
              <w:top w:val="single" w:sz="12" w:space="0" w:color="000000"/>
              <w:left w:val="single" w:sz="4" w:space="0" w:color="000000"/>
              <w:bottom w:val="single" w:sz="4" w:space="0" w:color="000000"/>
              <w:right w:val="single" w:sz="4" w:space="0" w:color="000000"/>
            </w:tcBorders>
            <w:vAlign w:val="center"/>
          </w:tcPr>
          <w:p w:rsidR="004F2A8A" w:rsidRDefault="006F0D20" w:rsidP="00FE39CA">
            <w:pPr>
              <w:spacing w:line="360" w:lineRule="auto"/>
              <w:ind w:left="-420" w:firstLine="640"/>
              <w:jc w:val="right"/>
              <w:rPr>
                <w:rFonts w:ascii="仿宋" w:eastAsia="仿宋" w:hAnsi="仿宋" w:cs="仿宋_GB2312"/>
                <w:kern w:val="1"/>
                <w:sz w:val="32"/>
                <w:szCs w:val="32"/>
              </w:rPr>
            </w:pPr>
            <w:r>
              <w:rPr>
                <w:rFonts w:ascii="仿宋" w:eastAsia="仿宋" w:hAnsi="仿宋" w:cs="仿宋_GB2312" w:hint="eastAsia"/>
                <w:kern w:val="1"/>
                <w:sz w:val="32"/>
                <w:szCs w:val="32"/>
              </w:rPr>
              <w:t>年龄</w:t>
            </w:r>
          </w:p>
        </w:tc>
        <w:tc>
          <w:tcPr>
            <w:tcW w:w="950" w:type="dxa"/>
            <w:tcBorders>
              <w:top w:val="single" w:sz="12" w:space="0" w:color="000000"/>
              <w:left w:val="single" w:sz="4" w:space="0" w:color="000000"/>
              <w:bottom w:val="single" w:sz="4" w:space="0" w:color="000000"/>
              <w:right w:val="single" w:sz="4" w:space="0" w:color="000000"/>
            </w:tcBorders>
            <w:vAlign w:val="center"/>
          </w:tcPr>
          <w:p w:rsidR="004F2A8A" w:rsidRDefault="006F0D20" w:rsidP="00FE39CA">
            <w:pPr>
              <w:spacing w:line="360" w:lineRule="auto"/>
              <w:ind w:left="-420" w:firstLine="640"/>
              <w:jc w:val="center"/>
              <w:rPr>
                <w:rFonts w:ascii="仿宋" w:eastAsia="仿宋" w:hAnsi="仿宋" w:cs="仿宋_GB2312"/>
                <w:kern w:val="1"/>
                <w:sz w:val="32"/>
                <w:szCs w:val="32"/>
              </w:rPr>
            </w:pPr>
            <w:r>
              <w:rPr>
                <w:rFonts w:ascii="仿宋" w:eastAsia="仿宋" w:hAnsi="仿宋" w:cs="仿宋_GB2312" w:hint="eastAsia"/>
                <w:kern w:val="1"/>
                <w:sz w:val="32"/>
                <w:szCs w:val="32"/>
              </w:rPr>
              <w:t xml:space="preserve">  性别</w:t>
            </w:r>
          </w:p>
        </w:tc>
        <w:tc>
          <w:tcPr>
            <w:tcW w:w="1280" w:type="dxa"/>
            <w:tcBorders>
              <w:top w:val="single" w:sz="12" w:space="0" w:color="000000"/>
              <w:left w:val="single" w:sz="4" w:space="0" w:color="000000"/>
              <w:bottom w:val="single" w:sz="4" w:space="0" w:color="000000"/>
              <w:right w:val="single" w:sz="4" w:space="0" w:color="000000"/>
            </w:tcBorders>
            <w:vAlign w:val="center"/>
          </w:tcPr>
          <w:p w:rsidR="004F2A8A" w:rsidRDefault="006F0D20" w:rsidP="00FE39CA">
            <w:pPr>
              <w:spacing w:line="360" w:lineRule="auto"/>
              <w:ind w:left="-420" w:firstLine="640"/>
              <w:jc w:val="right"/>
              <w:rPr>
                <w:rFonts w:ascii="仿宋" w:eastAsia="仿宋" w:hAnsi="仿宋" w:cs="仿宋_GB2312"/>
                <w:kern w:val="1"/>
                <w:sz w:val="32"/>
                <w:szCs w:val="32"/>
              </w:rPr>
            </w:pPr>
            <w:r>
              <w:rPr>
                <w:rFonts w:ascii="仿宋" w:eastAsia="仿宋" w:hAnsi="仿宋" w:cs="仿宋_GB2312" w:hint="eastAsia"/>
                <w:kern w:val="1"/>
                <w:sz w:val="32"/>
                <w:szCs w:val="32"/>
              </w:rPr>
              <w:t>文化程度</w:t>
            </w:r>
          </w:p>
        </w:tc>
        <w:tc>
          <w:tcPr>
            <w:tcW w:w="1230" w:type="dxa"/>
            <w:tcBorders>
              <w:top w:val="single" w:sz="12" w:space="0" w:color="000000"/>
              <w:left w:val="single" w:sz="4" w:space="0" w:color="000000"/>
              <w:bottom w:val="single" w:sz="4" w:space="0" w:color="000000"/>
              <w:right w:val="single" w:sz="4" w:space="0" w:color="000000"/>
            </w:tcBorders>
            <w:vAlign w:val="center"/>
          </w:tcPr>
          <w:p w:rsidR="004F2A8A" w:rsidRDefault="006F0D20" w:rsidP="00FE39CA">
            <w:pPr>
              <w:spacing w:line="360" w:lineRule="auto"/>
              <w:ind w:left="-420" w:firstLine="640"/>
              <w:jc w:val="center"/>
              <w:rPr>
                <w:rFonts w:ascii="仿宋" w:eastAsia="仿宋" w:hAnsi="仿宋" w:cs="仿宋_GB2312"/>
                <w:kern w:val="1"/>
                <w:sz w:val="32"/>
                <w:szCs w:val="32"/>
              </w:rPr>
            </w:pPr>
            <w:r>
              <w:rPr>
                <w:rFonts w:ascii="仿宋" w:eastAsia="仿宋" w:hAnsi="仿宋" w:cs="仿宋_GB2312" w:hint="eastAsia"/>
                <w:kern w:val="1"/>
                <w:sz w:val="32"/>
                <w:szCs w:val="32"/>
              </w:rPr>
              <w:t>工种</w:t>
            </w:r>
          </w:p>
        </w:tc>
        <w:tc>
          <w:tcPr>
            <w:tcW w:w="1490" w:type="dxa"/>
            <w:tcBorders>
              <w:top w:val="single" w:sz="12" w:space="0" w:color="000000"/>
              <w:left w:val="single" w:sz="4" w:space="0" w:color="000000"/>
              <w:bottom w:val="single" w:sz="4" w:space="0" w:color="000000"/>
              <w:right w:val="single" w:sz="4" w:space="0" w:color="000000"/>
            </w:tcBorders>
            <w:vAlign w:val="center"/>
          </w:tcPr>
          <w:p w:rsidR="00FE0477" w:rsidRDefault="006F0D20" w:rsidP="00FE0477">
            <w:pPr>
              <w:spacing w:line="360" w:lineRule="auto"/>
              <w:ind w:left="-420" w:firstLine="640"/>
              <w:rPr>
                <w:rFonts w:ascii="仿宋" w:eastAsia="仿宋" w:hAnsi="仿宋" w:cs="仿宋_GB2312" w:hint="eastAsia"/>
                <w:kern w:val="1"/>
                <w:sz w:val="32"/>
                <w:szCs w:val="32"/>
              </w:rPr>
            </w:pPr>
            <w:r>
              <w:rPr>
                <w:rFonts w:ascii="仿宋" w:eastAsia="仿宋" w:hAnsi="仿宋" w:cs="仿宋_GB2312" w:hint="eastAsia"/>
                <w:kern w:val="1"/>
                <w:sz w:val="32"/>
                <w:szCs w:val="32"/>
              </w:rPr>
              <w:t>伤害</w:t>
            </w:r>
          </w:p>
          <w:p w:rsidR="004F2A8A" w:rsidRDefault="006F0D20" w:rsidP="00FE0477">
            <w:pPr>
              <w:spacing w:line="360" w:lineRule="auto"/>
              <w:ind w:left="-420" w:firstLine="640"/>
              <w:rPr>
                <w:rFonts w:ascii="仿宋" w:eastAsia="仿宋" w:hAnsi="仿宋" w:cs="仿宋_GB2312"/>
                <w:kern w:val="1"/>
                <w:sz w:val="32"/>
                <w:szCs w:val="32"/>
              </w:rPr>
            </w:pPr>
            <w:r>
              <w:rPr>
                <w:rFonts w:ascii="仿宋" w:eastAsia="仿宋" w:hAnsi="仿宋" w:cs="仿宋_GB2312" w:hint="eastAsia"/>
                <w:kern w:val="1"/>
                <w:sz w:val="32"/>
                <w:szCs w:val="32"/>
              </w:rPr>
              <w:t>部位</w:t>
            </w:r>
          </w:p>
        </w:tc>
        <w:tc>
          <w:tcPr>
            <w:tcW w:w="1237" w:type="dxa"/>
            <w:tcBorders>
              <w:top w:val="single" w:sz="12" w:space="0" w:color="000000"/>
              <w:left w:val="single" w:sz="4" w:space="0" w:color="000000"/>
              <w:bottom w:val="single" w:sz="4" w:space="0" w:color="000000"/>
              <w:right w:val="single" w:sz="12" w:space="0" w:color="000000"/>
            </w:tcBorders>
            <w:vAlign w:val="center"/>
          </w:tcPr>
          <w:p w:rsidR="004F2A8A" w:rsidRDefault="006F0D20" w:rsidP="00FE0477">
            <w:pPr>
              <w:spacing w:line="360" w:lineRule="auto"/>
              <w:ind w:left="-420" w:right="160" w:firstLine="640"/>
              <w:jc w:val="right"/>
              <w:rPr>
                <w:rFonts w:ascii="仿宋" w:eastAsia="仿宋" w:hAnsi="仿宋" w:cs="仿宋_GB2312"/>
                <w:kern w:val="1"/>
                <w:sz w:val="32"/>
                <w:szCs w:val="32"/>
              </w:rPr>
            </w:pPr>
            <w:r>
              <w:rPr>
                <w:rFonts w:ascii="仿宋" w:eastAsia="仿宋" w:hAnsi="仿宋" w:cs="仿宋_GB2312" w:hint="eastAsia"/>
                <w:kern w:val="1"/>
                <w:sz w:val="32"/>
                <w:szCs w:val="32"/>
              </w:rPr>
              <w:t>伤害程度</w:t>
            </w:r>
          </w:p>
        </w:tc>
      </w:tr>
      <w:tr w:rsidR="004F2A8A">
        <w:tc>
          <w:tcPr>
            <w:tcW w:w="1290" w:type="dxa"/>
            <w:tcBorders>
              <w:top w:val="single" w:sz="4" w:space="0" w:color="000000"/>
              <w:left w:val="single" w:sz="12" w:space="0" w:color="000000"/>
              <w:bottom w:val="single" w:sz="12" w:space="0" w:color="000000"/>
              <w:right w:val="single" w:sz="4" w:space="0" w:color="000000"/>
            </w:tcBorders>
            <w:vAlign w:val="center"/>
          </w:tcPr>
          <w:p w:rsidR="004F2A8A" w:rsidRDefault="006F0D20" w:rsidP="00FE0477">
            <w:pPr>
              <w:spacing w:line="360" w:lineRule="auto"/>
              <w:rPr>
                <w:rFonts w:ascii="仿宋" w:eastAsia="仿宋" w:hAnsi="仿宋" w:cs="仿宋_GB2312"/>
                <w:kern w:val="1"/>
                <w:sz w:val="32"/>
                <w:szCs w:val="32"/>
              </w:rPr>
            </w:pPr>
            <w:r>
              <w:rPr>
                <w:rFonts w:ascii="仿宋" w:eastAsia="仿宋" w:hAnsi="仿宋" w:cs="仿宋_GB2312" w:hint="eastAsia"/>
                <w:kern w:val="1"/>
                <w:sz w:val="32"/>
                <w:szCs w:val="32"/>
              </w:rPr>
              <w:t>郝玉顺</w:t>
            </w:r>
          </w:p>
        </w:tc>
        <w:tc>
          <w:tcPr>
            <w:tcW w:w="760" w:type="dxa"/>
            <w:tcBorders>
              <w:top w:val="single" w:sz="4" w:space="0" w:color="000000"/>
              <w:left w:val="single" w:sz="4" w:space="0" w:color="000000"/>
              <w:bottom w:val="single" w:sz="12" w:space="0" w:color="000000"/>
              <w:right w:val="single" w:sz="4" w:space="0" w:color="000000"/>
            </w:tcBorders>
            <w:vAlign w:val="center"/>
          </w:tcPr>
          <w:p w:rsidR="004F2A8A" w:rsidRDefault="006F0D20" w:rsidP="00FE39CA">
            <w:pPr>
              <w:spacing w:line="360" w:lineRule="auto"/>
              <w:ind w:left="-420" w:firstLine="640"/>
              <w:jc w:val="center"/>
              <w:rPr>
                <w:rFonts w:ascii="仿宋" w:eastAsia="仿宋" w:hAnsi="仿宋" w:cs="仿宋_GB2312"/>
                <w:kern w:val="1"/>
                <w:sz w:val="32"/>
                <w:szCs w:val="32"/>
              </w:rPr>
            </w:pPr>
            <w:r>
              <w:rPr>
                <w:rFonts w:ascii="仿宋" w:eastAsia="仿宋" w:hAnsi="仿宋" w:cs="仿宋_GB2312" w:hint="eastAsia"/>
                <w:kern w:val="1"/>
                <w:sz w:val="32"/>
                <w:szCs w:val="32"/>
              </w:rPr>
              <w:t xml:space="preserve">   48 </w:t>
            </w:r>
          </w:p>
        </w:tc>
        <w:tc>
          <w:tcPr>
            <w:tcW w:w="950" w:type="dxa"/>
            <w:tcBorders>
              <w:top w:val="single" w:sz="4" w:space="0" w:color="000000"/>
              <w:left w:val="single" w:sz="4" w:space="0" w:color="000000"/>
              <w:bottom w:val="single" w:sz="12" w:space="0" w:color="000000"/>
              <w:right w:val="single" w:sz="4" w:space="0" w:color="000000"/>
            </w:tcBorders>
            <w:vAlign w:val="center"/>
          </w:tcPr>
          <w:p w:rsidR="004F2A8A" w:rsidRDefault="006F0D20" w:rsidP="00FE39CA">
            <w:pPr>
              <w:spacing w:line="360" w:lineRule="auto"/>
              <w:ind w:left="-420" w:firstLine="640"/>
              <w:jc w:val="center"/>
              <w:rPr>
                <w:rFonts w:ascii="仿宋" w:eastAsia="仿宋" w:hAnsi="仿宋" w:cs="仿宋_GB2312"/>
                <w:kern w:val="1"/>
                <w:sz w:val="32"/>
                <w:szCs w:val="32"/>
              </w:rPr>
            </w:pPr>
            <w:r>
              <w:rPr>
                <w:rFonts w:ascii="仿宋" w:eastAsia="仿宋" w:hAnsi="仿宋" w:cs="仿宋_GB2312" w:hint="eastAsia"/>
                <w:kern w:val="1"/>
                <w:sz w:val="32"/>
                <w:szCs w:val="32"/>
              </w:rPr>
              <w:t xml:space="preserve">  男</w:t>
            </w:r>
          </w:p>
        </w:tc>
        <w:tc>
          <w:tcPr>
            <w:tcW w:w="1280" w:type="dxa"/>
            <w:tcBorders>
              <w:top w:val="single" w:sz="4" w:space="0" w:color="000000"/>
              <w:left w:val="single" w:sz="4" w:space="0" w:color="000000"/>
              <w:bottom w:val="single" w:sz="12" w:space="0" w:color="000000"/>
              <w:right w:val="single" w:sz="4" w:space="0" w:color="000000"/>
            </w:tcBorders>
            <w:vAlign w:val="center"/>
          </w:tcPr>
          <w:p w:rsidR="004F2A8A" w:rsidRDefault="006F0D20" w:rsidP="00FE0477">
            <w:pPr>
              <w:spacing w:line="360" w:lineRule="auto"/>
              <w:ind w:left="-420" w:firstLine="640"/>
              <w:rPr>
                <w:rFonts w:ascii="仿宋" w:eastAsia="仿宋" w:hAnsi="仿宋" w:cs="仿宋_GB2312"/>
                <w:kern w:val="1"/>
                <w:sz w:val="32"/>
                <w:szCs w:val="32"/>
              </w:rPr>
            </w:pPr>
            <w:r>
              <w:rPr>
                <w:rFonts w:ascii="仿宋" w:eastAsia="仿宋" w:hAnsi="仿宋" w:cs="仿宋_GB2312" w:hint="eastAsia"/>
                <w:kern w:val="1"/>
                <w:sz w:val="32"/>
                <w:szCs w:val="32"/>
              </w:rPr>
              <w:t>初中</w:t>
            </w:r>
          </w:p>
        </w:tc>
        <w:tc>
          <w:tcPr>
            <w:tcW w:w="1230" w:type="dxa"/>
            <w:tcBorders>
              <w:top w:val="single" w:sz="4" w:space="0" w:color="000000"/>
              <w:left w:val="single" w:sz="4" w:space="0" w:color="000000"/>
              <w:bottom w:val="single" w:sz="12" w:space="0" w:color="000000"/>
              <w:right w:val="single" w:sz="4" w:space="0" w:color="000000"/>
            </w:tcBorders>
            <w:vAlign w:val="center"/>
          </w:tcPr>
          <w:p w:rsidR="00FE0477" w:rsidRDefault="006F0D20" w:rsidP="00FE0477">
            <w:pPr>
              <w:spacing w:line="360" w:lineRule="auto"/>
              <w:rPr>
                <w:rFonts w:ascii="仿宋" w:eastAsia="仿宋" w:hAnsi="仿宋" w:cs="仿宋_GB2312" w:hint="eastAsia"/>
                <w:kern w:val="1"/>
                <w:sz w:val="32"/>
                <w:szCs w:val="32"/>
              </w:rPr>
            </w:pPr>
            <w:r>
              <w:rPr>
                <w:rFonts w:ascii="仿宋" w:eastAsia="仿宋" w:hAnsi="仿宋" w:cs="仿宋_GB2312" w:hint="eastAsia"/>
                <w:kern w:val="1"/>
                <w:sz w:val="32"/>
                <w:szCs w:val="32"/>
              </w:rPr>
              <w:t>废品</w:t>
            </w:r>
          </w:p>
          <w:p w:rsidR="004F2A8A" w:rsidRDefault="006F0D20" w:rsidP="00FE0477">
            <w:pPr>
              <w:spacing w:line="360" w:lineRule="auto"/>
              <w:rPr>
                <w:rFonts w:ascii="仿宋" w:eastAsia="仿宋" w:hAnsi="仿宋" w:cs="仿宋_GB2312"/>
                <w:kern w:val="1"/>
                <w:sz w:val="32"/>
                <w:szCs w:val="32"/>
              </w:rPr>
            </w:pPr>
            <w:r>
              <w:rPr>
                <w:rFonts w:ascii="仿宋" w:eastAsia="仿宋" w:hAnsi="仿宋" w:cs="仿宋_GB2312" w:hint="eastAsia"/>
                <w:kern w:val="1"/>
                <w:sz w:val="32"/>
                <w:szCs w:val="32"/>
              </w:rPr>
              <w:t>回收</w:t>
            </w:r>
          </w:p>
        </w:tc>
        <w:tc>
          <w:tcPr>
            <w:tcW w:w="1490" w:type="dxa"/>
            <w:tcBorders>
              <w:top w:val="single" w:sz="4" w:space="0" w:color="000000"/>
              <w:left w:val="single" w:sz="4" w:space="0" w:color="000000"/>
              <w:bottom w:val="single" w:sz="12" w:space="0" w:color="000000"/>
              <w:right w:val="single" w:sz="4" w:space="0" w:color="000000"/>
            </w:tcBorders>
            <w:vAlign w:val="center"/>
          </w:tcPr>
          <w:p w:rsidR="00FE0477" w:rsidRDefault="006F0D20" w:rsidP="00FE0477">
            <w:pPr>
              <w:spacing w:line="360" w:lineRule="auto"/>
              <w:ind w:left="-146"/>
              <w:rPr>
                <w:rFonts w:ascii="仿宋" w:eastAsia="仿宋" w:hAnsi="仿宋" w:cs="仿宋_GB2312" w:hint="eastAsia"/>
                <w:kern w:val="1"/>
                <w:sz w:val="32"/>
                <w:szCs w:val="32"/>
              </w:rPr>
            </w:pPr>
            <w:r>
              <w:rPr>
                <w:rFonts w:ascii="仿宋" w:eastAsia="仿宋" w:hAnsi="仿宋" w:cs="仿宋_GB2312" w:hint="eastAsia"/>
                <w:kern w:val="1"/>
                <w:sz w:val="32"/>
                <w:szCs w:val="32"/>
              </w:rPr>
              <w:t>全身</w:t>
            </w:r>
          </w:p>
          <w:p w:rsidR="004F2A8A" w:rsidRDefault="006F0D20" w:rsidP="00FE0477">
            <w:pPr>
              <w:spacing w:line="360" w:lineRule="auto"/>
              <w:ind w:left="-146"/>
              <w:rPr>
                <w:rFonts w:ascii="仿宋" w:eastAsia="仿宋" w:hAnsi="仿宋" w:cs="仿宋_GB2312"/>
                <w:kern w:val="1"/>
                <w:sz w:val="32"/>
                <w:szCs w:val="32"/>
              </w:rPr>
            </w:pPr>
            <w:r>
              <w:rPr>
                <w:rFonts w:ascii="仿宋" w:eastAsia="仿宋" w:hAnsi="仿宋" w:cs="仿宋_GB2312" w:hint="eastAsia"/>
                <w:kern w:val="1"/>
                <w:sz w:val="32"/>
                <w:szCs w:val="32"/>
              </w:rPr>
              <w:t>烧伤</w:t>
            </w:r>
          </w:p>
        </w:tc>
        <w:tc>
          <w:tcPr>
            <w:tcW w:w="1237" w:type="dxa"/>
            <w:tcBorders>
              <w:top w:val="single" w:sz="4" w:space="0" w:color="000000"/>
              <w:left w:val="single" w:sz="4" w:space="0" w:color="000000"/>
              <w:bottom w:val="single" w:sz="12" w:space="0" w:color="000000"/>
              <w:right w:val="single" w:sz="12" w:space="0" w:color="000000"/>
            </w:tcBorders>
            <w:vAlign w:val="center"/>
          </w:tcPr>
          <w:p w:rsidR="004F2A8A" w:rsidRDefault="006F0D20" w:rsidP="00FE0477">
            <w:pPr>
              <w:spacing w:line="360" w:lineRule="auto"/>
              <w:ind w:left="-420" w:firstLine="640"/>
              <w:rPr>
                <w:rFonts w:ascii="仿宋" w:eastAsia="仿宋" w:hAnsi="仿宋" w:cs="仿宋_GB2312"/>
                <w:kern w:val="1"/>
                <w:sz w:val="32"/>
                <w:szCs w:val="32"/>
              </w:rPr>
            </w:pPr>
            <w:r>
              <w:rPr>
                <w:rFonts w:ascii="仿宋" w:eastAsia="仿宋" w:hAnsi="仿宋" w:cs="仿宋_GB2312" w:hint="eastAsia"/>
                <w:kern w:val="1"/>
                <w:sz w:val="32"/>
                <w:szCs w:val="32"/>
              </w:rPr>
              <w:t>死亡</w:t>
            </w:r>
          </w:p>
        </w:tc>
      </w:tr>
    </w:tbl>
    <w:p w:rsidR="004F2A8A" w:rsidRDefault="006F0D20" w:rsidP="00FE39CA">
      <w:pPr>
        <w:pStyle w:val="a4"/>
        <w:spacing w:line="360" w:lineRule="auto"/>
        <w:ind w:firstLine="640"/>
        <w:rPr>
          <w:rFonts w:ascii="仿宋" w:eastAsia="仿宋" w:hAnsi="仿宋" w:cs="仿宋_GB2312"/>
          <w:kern w:val="1"/>
          <w:sz w:val="32"/>
          <w:szCs w:val="32"/>
        </w:rPr>
      </w:pPr>
      <w:r>
        <w:rPr>
          <w:rFonts w:ascii="仿宋" w:eastAsia="仿宋" w:hAnsi="仿宋" w:cs="仿宋_GB2312" w:hint="eastAsia"/>
          <w:kern w:val="1"/>
          <w:sz w:val="32"/>
          <w:szCs w:val="32"/>
        </w:rPr>
        <w:t>本次事故损失工作日：6000天。直接经济损失：90万元。</w:t>
      </w:r>
    </w:p>
    <w:p w:rsidR="004F2A8A" w:rsidRPr="00FE39CA" w:rsidRDefault="006F0D20" w:rsidP="00FE39CA">
      <w:pPr>
        <w:spacing w:line="360" w:lineRule="auto"/>
        <w:ind w:firstLineChars="200" w:firstLine="640"/>
        <w:rPr>
          <w:rFonts w:ascii="黑体" w:eastAsia="黑体" w:hAnsi="黑体" w:cs="黑体"/>
          <w:bCs/>
          <w:kern w:val="1"/>
          <w:sz w:val="32"/>
          <w:szCs w:val="32"/>
        </w:rPr>
      </w:pPr>
      <w:r w:rsidRPr="00FE39CA">
        <w:rPr>
          <w:rFonts w:ascii="黑体" w:eastAsia="黑体" w:hAnsi="黑体" w:cs="黑体" w:hint="eastAsia"/>
          <w:bCs/>
          <w:kern w:val="1"/>
          <w:sz w:val="32"/>
          <w:szCs w:val="32"/>
        </w:rPr>
        <w:t>四、事故发生原因和责任认定</w:t>
      </w:r>
    </w:p>
    <w:p w:rsidR="004F2A8A" w:rsidRPr="00FE39CA" w:rsidRDefault="006F0D20">
      <w:pPr>
        <w:spacing w:line="360" w:lineRule="auto"/>
        <w:ind w:firstLineChars="100" w:firstLine="321"/>
        <w:rPr>
          <w:rFonts w:ascii="楷体_GB2312" w:eastAsia="楷体_GB2312" w:hAnsi="仿宋" w:cs="楷体"/>
          <w:b/>
          <w:kern w:val="1"/>
          <w:sz w:val="32"/>
          <w:szCs w:val="32"/>
        </w:rPr>
      </w:pPr>
      <w:r w:rsidRPr="00FE39CA">
        <w:rPr>
          <w:rFonts w:ascii="楷体_GB2312" w:eastAsia="楷体_GB2312" w:hAnsi="仿宋" w:cs="楷体" w:hint="eastAsia"/>
          <w:b/>
          <w:kern w:val="1"/>
          <w:sz w:val="32"/>
          <w:szCs w:val="32"/>
        </w:rPr>
        <w:t xml:space="preserve"> （一）直接原因</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郝玉顺不具备动火特种作业操作资格，对中科顺辉公司留守人员的安全提示未给予重视，违规违章动火作业，引燃化学品空罐中溢出的挥发性气体，导致瞬间闪燃起火，大火引燃全身烧伤致其死亡。</w:t>
      </w:r>
    </w:p>
    <w:p w:rsidR="004F2A8A" w:rsidRPr="00FE39CA" w:rsidRDefault="006F0D20" w:rsidP="00FE39CA">
      <w:pPr>
        <w:ind w:firstLine="640"/>
        <w:rPr>
          <w:rFonts w:ascii="楷体_GB2312" w:eastAsia="楷体_GB2312" w:hAnsi="仿宋" w:cs="仿宋"/>
          <w:b/>
          <w:sz w:val="32"/>
          <w:szCs w:val="32"/>
        </w:rPr>
      </w:pPr>
      <w:r w:rsidRPr="00FE39CA">
        <w:rPr>
          <w:rFonts w:ascii="楷体_GB2312" w:eastAsia="楷体_GB2312" w:hAnsi="仿宋" w:cs="仿宋" w:hint="eastAsia"/>
          <w:b/>
          <w:sz w:val="32"/>
          <w:szCs w:val="32"/>
        </w:rPr>
        <w:t>（二）间接原因</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1.程允伦在张博峰及中科顺辉公司明确告知不允许在拆卸作业过程中进行动火作业的前提下，无视警示，在郝玉顺违规违章进行动火作业时，没有进行制止，在动火作业前没有对现场进行任何风险分析和检测的情况下，冒险作业。</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2.张博峰，前益同生物公司实际控制人，在委派程允伦和郝玉顺对其废旧设备拆除时，虽通过电话履行了不允许动火作业的告知义务，但本人并未到达现场进行安全管理，也未指派他人对现场拆卸作业进行安全协调管理，对郝玉顺违规违章、冒险动火作业的行为未能进行有效制止，作业现场安全管理缺失。</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3.郭炽良，中科顺辉公司实际负责人，公司长期停产期间未认真履行安全生产第一责任人职责，对厂区内因长期停产而存在的安全隐患问题未能及时消除，对进入厂内的外来人员安全管理不到位。</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4.中科顺辉公司对在本厂区进行拆卸作业的人员未有效履行统一协调管理职责，管理人员虽然对拆卸作业人员履行了不允许动火作业的告知义务，但对动火作业人员的资质没有进行严格审查，放任不具备动火作业的人员将相关设施设备带进作业现场，在拆卸人员作业过程中没有进行全程统一协调管理，对拆卸人员违章违规冒险动火作业的行为没有做到有效监管，存在作业现场管理缺位。</w:t>
      </w:r>
    </w:p>
    <w:p w:rsidR="004F2A8A" w:rsidRPr="00FE39CA" w:rsidRDefault="006F0D20" w:rsidP="00FE39CA">
      <w:pPr>
        <w:tabs>
          <w:tab w:val="left" w:pos="583"/>
        </w:tabs>
        <w:spacing w:line="360" w:lineRule="auto"/>
        <w:ind w:firstLineChars="200" w:firstLine="640"/>
        <w:rPr>
          <w:rFonts w:ascii="黑体" w:eastAsia="黑体" w:hAnsi="黑体" w:cs="黑体"/>
          <w:bCs/>
          <w:kern w:val="1"/>
          <w:sz w:val="32"/>
          <w:szCs w:val="32"/>
        </w:rPr>
      </w:pPr>
      <w:r w:rsidRPr="00FE39CA">
        <w:rPr>
          <w:rFonts w:ascii="黑体" w:eastAsia="黑体" w:hAnsi="黑体" w:cs="黑体" w:hint="eastAsia"/>
          <w:bCs/>
          <w:kern w:val="1"/>
          <w:sz w:val="32"/>
          <w:szCs w:val="32"/>
        </w:rPr>
        <w:t>五、对事故责任人员及事故单位的处理建议</w:t>
      </w:r>
    </w:p>
    <w:p w:rsidR="004F2A8A" w:rsidRPr="00FE39CA" w:rsidRDefault="006F0D20">
      <w:pPr>
        <w:spacing w:line="360" w:lineRule="auto"/>
        <w:ind w:firstLineChars="200" w:firstLine="643"/>
        <w:rPr>
          <w:rFonts w:ascii="楷体_GB2312" w:eastAsia="楷体_GB2312" w:hAnsi="仿宋" w:cs="楷体"/>
          <w:b/>
          <w:bCs/>
          <w:kern w:val="1"/>
          <w:sz w:val="32"/>
          <w:szCs w:val="32"/>
        </w:rPr>
      </w:pPr>
      <w:r w:rsidRPr="00FE39CA">
        <w:rPr>
          <w:rFonts w:ascii="楷体_GB2312" w:eastAsia="楷体_GB2312" w:hAnsi="仿宋" w:cs="楷体" w:hint="eastAsia"/>
          <w:b/>
          <w:bCs/>
          <w:sz w:val="32"/>
          <w:szCs w:val="32"/>
        </w:rPr>
        <w:t>（一）对</w:t>
      </w:r>
      <w:r w:rsidRPr="00FE39CA">
        <w:rPr>
          <w:rFonts w:ascii="楷体_GB2312" w:eastAsia="楷体_GB2312" w:hAnsi="仿宋" w:cs="楷体" w:hint="eastAsia"/>
          <w:b/>
          <w:bCs/>
          <w:kern w:val="1"/>
          <w:sz w:val="32"/>
          <w:szCs w:val="32"/>
        </w:rPr>
        <w:t>相关责任人员的处理建议</w:t>
      </w:r>
    </w:p>
    <w:p w:rsidR="004F2A8A" w:rsidRDefault="006F0D20" w:rsidP="00FE39CA">
      <w:pPr>
        <w:ind w:firstLineChars="200" w:firstLine="640"/>
        <w:rPr>
          <w:rFonts w:ascii="仿宋" w:eastAsia="仿宋" w:hAnsi="仿宋" w:cs="仿宋"/>
          <w:sz w:val="32"/>
          <w:szCs w:val="32"/>
        </w:rPr>
      </w:pPr>
      <w:r>
        <w:rPr>
          <w:rFonts w:ascii="仿宋" w:eastAsia="仿宋" w:hAnsi="仿宋" w:cs="仿宋" w:hint="eastAsia"/>
          <w:sz w:val="32"/>
          <w:szCs w:val="32"/>
        </w:rPr>
        <w:t>1.郝玉顺，无视他人作业警示，在不具备动火特种作业资质的情况下，违规违章动火冒险作业，对事故发生负有主要责任，因其在事故中死亡免于追究其责任。</w:t>
      </w:r>
    </w:p>
    <w:p w:rsidR="004F2A8A" w:rsidRDefault="006F0D20" w:rsidP="00FE39CA">
      <w:pPr>
        <w:ind w:firstLineChars="200" w:firstLine="640"/>
        <w:rPr>
          <w:rFonts w:ascii="仿宋" w:eastAsia="仿宋" w:hAnsi="仿宋" w:cs="仿宋"/>
          <w:sz w:val="32"/>
          <w:szCs w:val="32"/>
        </w:rPr>
      </w:pPr>
      <w:r>
        <w:rPr>
          <w:rFonts w:ascii="仿宋" w:eastAsia="仿宋" w:hAnsi="仿宋" w:cs="仿宋" w:hint="eastAsia"/>
          <w:sz w:val="32"/>
          <w:szCs w:val="32"/>
        </w:rPr>
        <w:t>2.程允伦，在不具备动火特种作业资质的情况下，仍携带动火作业工具到拆卸现场，在发现郝玉顺要开展动火作业的情况下，未对其违规违章行为进行制止，未能及时消除存在的安全隐患，对事发生负有责任，依据《安全生产法》第九十五条的规定，对其处上一年年收入百分之四十罚款的行政处罚，其2022年年收入为人民币6万元，对其处人民币2.4万元罚款的行政处罚。</w:t>
      </w:r>
    </w:p>
    <w:p w:rsidR="004F2A8A" w:rsidRDefault="006F0D20" w:rsidP="00FE39CA">
      <w:pPr>
        <w:ind w:firstLineChars="200" w:firstLine="640"/>
        <w:rPr>
          <w:rFonts w:ascii="仿宋" w:eastAsia="仿宋" w:hAnsi="仿宋" w:cs="仿宋"/>
          <w:sz w:val="32"/>
          <w:szCs w:val="32"/>
        </w:rPr>
      </w:pPr>
      <w:r>
        <w:rPr>
          <w:rFonts w:ascii="仿宋" w:eastAsia="仿宋" w:hAnsi="仿宋" w:cs="仿宋" w:hint="eastAsia"/>
          <w:sz w:val="32"/>
          <w:szCs w:val="32"/>
        </w:rPr>
        <w:t>3.张博峰，前益同生物公司实际负责人，在委派人员对自己的废旧设备进行拆除的过程中，没有对拆卸现场进行安全管理，也没有委派他人对拆卸现场进行安全管理，未对现场存在的安全隐患进行风险辨识，并消除事故隐患，对事故发生负有责任，依据《安全生产法》第九十六条的规定，对其处上一年年收入百分之三十罚款的行政处罚，其2022年年收入为人民币10.2万元，对其处人民币3.06万元罚款的行政处罚。</w:t>
      </w:r>
    </w:p>
    <w:p w:rsidR="004F2A8A" w:rsidRDefault="006F0D20" w:rsidP="00FE39CA">
      <w:pPr>
        <w:ind w:firstLineChars="200" w:firstLine="640"/>
        <w:rPr>
          <w:rFonts w:ascii="仿宋" w:eastAsia="仿宋" w:hAnsi="仿宋" w:cs="仿宋"/>
          <w:sz w:val="32"/>
          <w:szCs w:val="32"/>
        </w:rPr>
      </w:pPr>
      <w:r>
        <w:rPr>
          <w:rFonts w:ascii="仿宋" w:eastAsia="仿宋" w:hAnsi="仿宋" w:cs="仿宋" w:hint="eastAsia"/>
          <w:sz w:val="32"/>
          <w:szCs w:val="32"/>
        </w:rPr>
        <w:t>4.郭炽良，中科顺辉公司实际负责人，未认真履行安全生产第一责任人职责，因企业长期停产，对企业的安全生产工作未做到及时督促、检查，并消除存在的安全隐患问题，对事故发生负有责任，依据《安全生产法》第九十五条的规定，对其处上一年年收入百分之四十罚款的行政处罚，其上一年收入为人民币4.8万元，对其处人民币1.92万元罚款的行政处罚。</w:t>
      </w:r>
    </w:p>
    <w:p w:rsidR="004F2A8A" w:rsidRPr="00FE39CA" w:rsidRDefault="006F0D20" w:rsidP="00FE39CA">
      <w:pPr>
        <w:spacing w:line="360" w:lineRule="auto"/>
        <w:ind w:firstLineChars="100" w:firstLine="320"/>
        <w:rPr>
          <w:rFonts w:ascii="楷体_GB2312" w:eastAsia="楷体_GB2312" w:hAnsi="仿宋" w:cs="楷体"/>
          <w:b/>
          <w:bCs/>
          <w:kern w:val="1"/>
          <w:sz w:val="32"/>
          <w:szCs w:val="32"/>
        </w:rPr>
      </w:pPr>
      <w:r>
        <w:rPr>
          <w:rFonts w:ascii="仿宋" w:eastAsia="仿宋" w:hAnsi="仿宋" w:cs="仿宋" w:hint="eastAsia"/>
          <w:sz w:val="32"/>
          <w:szCs w:val="32"/>
        </w:rPr>
        <w:t xml:space="preserve"> </w:t>
      </w:r>
      <w:r w:rsidRPr="00FE39CA">
        <w:rPr>
          <w:rFonts w:ascii="楷体_GB2312" w:eastAsia="楷体_GB2312" w:hAnsi="仿宋" w:cs="楷体" w:hint="eastAsia"/>
          <w:b/>
          <w:bCs/>
          <w:sz w:val="32"/>
          <w:szCs w:val="32"/>
        </w:rPr>
        <w:t>（二）对事</w:t>
      </w:r>
      <w:r w:rsidRPr="00FE39CA">
        <w:rPr>
          <w:rFonts w:ascii="楷体_GB2312" w:eastAsia="楷体_GB2312" w:hAnsi="仿宋" w:cs="楷体" w:hint="eastAsia"/>
          <w:b/>
          <w:bCs/>
          <w:kern w:val="1"/>
          <w:sz w:val="32"/>
          <w:szCs w:val="32"/>
        </w:rPr>
        <w:t>故单位的处理建议</w:t>
      </w:r>
    </w:p>
    <w:p w:rsidR="004F2A8A" w:rsidRDefault="006F0D20" w:rsidP="00FE39CA">
      <w:pPr>
        <w:ind w:firstLineChars="200" w:firstLine="640"/>
        <w:rPr>
          <w:rFonts w:ascii="仿宋" w:eastAsia="仿宋" w:hAnsi="仿宋" w:cs="仿宋"/>
          <w:sz w:val="32"/>
          <w:szCs w:val="32"/>
        </w:rPr>
      </w:pPr>
      <w:r>
        <w:rPr>
          <w:rFonts w:ascii="仿宋" w:eastAsia="仿宋" w:hAnsi="仿宋" w:cs="仿宋" w:hint="eastAsia"/>
          <w:sz w:val="32"/>
          <w:szCs w:val="32"/>
        </w:rPr>
        <w:t>中科顺辉公司，对外来人员安全管理不到位，对厂区内存在的安全隐患问题未采取有效措施消除事故隐患，对事故发生负有责任，依据《安全生产法》第一百零二条的规定，对其处以人民币3万元罚款的行政处罚。</w:t>
      </w:r>
    </w:p>
    <w:p w:rsidR="004F2A8A" w:rsidRPr="00FE39CA" w:rsidRDefault="006F0D20">
      <w:pPr>
        <w:spacing w:line="360" w:lineRule="auto"/>
        <w:ind w:firstLineChars="200" w:firstLine="640"/>
        <w:rPr>
          <w:rFonts w:ascii="黑体" w:eastAsia="黑体" w:hAnsi="黑体" w:cs="黑体"/>
          <w:sz w:val="32"/>
          <w:szCs w:val="32"/>
          <w:shd w:val="clear" w:color="auto" w:fill="FFFFFF"/>
        </w:rPr>
      </w:pPr>
      <w:r w:rsidRPr="00FE39CA">
        <w:rPr>
          <w:rFonts w:ascii="黑体" w:eastAsia="黑体" w:hAnsi="黑体" w:cs="黑体" w:hint="eastAsia"/>
          <w:sz w:val="32"/>
          <w:szCs w:val="32"/>
          <w:shd w:val="clear" w:color="auto" w:fill="FFFFFF"/>
        </w:rPr>
        <w:t>六、事故防范及整改措施</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中科顺辉公司应加强对企业的安全管理，对外来作业人员要加强安全管理，对需要进行特种作业的人员要严格资格审核，对携带不符合企业安全管理规定设施设备入厂的行为要严格制止，对本企业内部存在的安全隐患问题要采取有效措施消除安全隐患。</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 xml:space="preserve">    </w:t>
      </w:r>
    </w:p>
    <w:p w:rsidR="004F2A8A" w:rsidRDefault="004F2A8A" w:rsidP="00FE39CA">
      <w:pPr>
        <w:ind w:firstLine="640"/>
        <w:rPr>
          <w:rFonts w:ascii="仿宋" w:eastAsia="仿宋" w:hAnsi="仿宋" w:cs="仿宋"/>
          <w:sz w:val="32"/>
          <w:szCs w:val="32"/>
        </w:rPr>
      </w:pPr>
    </w:p>
    <w:p w:rsidR="004F2A8A" w:rsidRDefault="004F2A8A" w:rsidP="00FE39CA">
      <w:pPr>
        <w:ind w:firstLine="640"/>
        <w:rPr>
          <w:rFonts w:ascii="仿宋" w:eastAsia="仿宋" w:hAnsi="仿宋" w:cs="仿宋"/>
          <w:sz w:val="32"/>
          <w:szCs w:val="32"/>
        </w:rPr>
      </w:pPr>
    </w:p>
    <w:p w:rsidR="004F2A8A" w:rsidRDefault="004F2A8A" w:rsidP="00FE39CA">
      <w:pPr>
        <w:ind w:firstLine="640"/>
        <w:rPr>
          <w:rFonts w:ascii="仿宋" w:eastAsia="仿宋" w:hAnsi="仿宋" w:cs="仿宋"/>
          <w:sz w:val="32"/>
          <w:szCs w:val="32"/>
        </w:rPr>
      </w:pP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 xml:space="preserve">                                  事故调查组</w:t>
      </w:r>
    </w:p>
    <w:p w:rsidR="004F2A8A" w:rsidRDefault="006F0D20" w:rsidP="00FE39CA">
      <w:pPr>
        <w:ind w:firstLine="640"/>
        <w:rPr>
          <w:rFonts w:ascii="仿宋" w:eastAsia="仿宋" w:hAnsi="仿宋" w:cs="仿宋"/>
          <w:sz w:val="32"/>
          <w:szCs w:val="32"/>
        </w:rPr>
      </w:pPr>
      <w:r>
        <w:rPr>
          <w:rFonts w:ascii="仿宋" w:eastAsia="仿宋" w:hAnsi="仿宋" w:cs="仿宋" w:hint="eastAsia"/>
          <w:sz w:val="32"/>
          <w:szCs w:val="32"/>
        </w:rPr>
        <w:t xml:space="preserve">                                2024年1月19日</w:t>
      </w:r>
    </w:p>
    <w:sectPr w:rsidR="004F2A8A" w:rsidSect="004F2A8A">
      <w:pgSz w:w="11906" w:h="16838"/>
      <w:pgMar w:top="1701"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637" w:rsidRDefault="00E34637" w:rsidP="00FE39CA">
      <w:pPr>
        <w:ind w:firstLine="640"/>
      </w:pPr>
      <w:r>
        <w:separator/>
      </w:r>
    </w:p>
  </w:endnote>
  <w:endnote w:type="continuationSeparator" w:id="1">
    <w:p w:rsidR="00E34637" w:rsidRDefault="00E34637" w:rsidP="00FE39C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637" w:rsidRDefault="00E34637" w:rsidP="00FE39CA">
      <w:pPr>
        <w:ind w:firstLine="640"/>
      </w:pPr>
      <w:r>
        <w:separator/>
      </w:r>
    </w:p>
  </w:footnote>
  <w:footnote w:type="continuationSeparator" w:id="1">
    <w:p w:rsidR="00E34637" w:rsidRDefault="00E34637" w:rsidP="00FE39CA">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I2NmZlNGU5NGVmZjJkNWQwNDJmNzg2OWNmZjQ2ZTYifQ=="/>
  </w:docVars>
  <w:rsids>
    <w:rsidRoot w:val="00E17B54"/>
    <w:rsid w:val="001255D0"/>
    <w:rsid w:val="001D529C"/>
    <w:rsid w:val="002A1DA6"/>
    <w:rsid w:val="00397110"/>
    <w:rsid w:val="004A2015"/>
    <w:rsid w:val="004F2A8A"/>
    <w:rsid w:val="004F4B9F"/>
    <w:rsid w:val="00540C5C"/>
    <w:rsid w:val="00635952"/>
    <w:rsid w:val="00671C08"/>
    <w:rsid w:val="006F0D20"/>
    <w:rsid w:val="00715918"/>
    <w:rsid w:val="00850F90"/>
    <w:rsid w:val="008B5CBE"/>
    <w:rsid w:val="008D1C95"/>
    <w:rsid w:val="0094444C"/>
    <w:rsid w:val="00A21C7B"/>
    <w:rsid w:val="00A50227"/>
    <w:rsid w:val="00B20856"/>
    <w:rsid w:val="00B479F5"/>
    <w:rsid w:val="00B60D65"/>
    <w:rsid w:val="00C165FE"/>
    <w:rsid w:val="00C168E6"/>
    <w:rsid w:val="00C26D1F"/>
    <w:rsid w:val="00C5707F"/>
    <w:rsid w:val="00D30FE8"/>
    <w:rsid w:val="00D36BD8"/>
    <w:rsid w:val="00DE7BBD"/>
    <w:rsid w:val="00E17B54"/>
    <w:rsid w:val="00E34637"/>
    <w:rsid w:val="00EB21FA"/>
    <w:rsid w:val="00F820CD"/>
    <w:rsid w:val="00FE0477"/>
    <w:rsid w:val="00FE39CA"/>
    <w:rsid w:val="01B42948"/>
    <w:rsid w:val="02B01361"/>
    <w:rsid w:val="03394EB3"/>
    <w:rsid w:val="062C0CFF"/>
    <w:rsid w:val="07422013"/>
    <w:rsid w:val="090715AF"/>
    <w:rsid w:val="09336848"/>
    <w:rsid w:val="0AA277E2"/>
    <w:rsid w:val="0AC401C8"/>
    <w:rsid w:val="0C601702"/>
    <w:rsid w:val="0CA27F6D"/>
    <w:rsid w:val="0DA01786"/>
    <w:rsid w:val="0F957915"/>
    <w:rsid w:val="119836EC"/>
    <w:rsid w:val="15E97957"/>
    <w:rsid w:val="16175528"/>
    <w:rsid w:val="165247B2"/>
    <w:rsid w:val="184F0079"/>
    <w:rsid w:val="192F4936"/>
    <w:rsid w:val="1B5E1503"/>
    <w:rsid w:val="1D0E0D07"/>
    <w:rsid w:val="202637BB"/>
    <w:rsid w:val="22C34341"/>
    <w:rsid w:val="232E1897"/>
    <w:rsid w:val="27C546B8"/>
    <w:rsid w:val="2C0C0B07"/>
    <w:rsid w:val="2E382087"/>
    <w:rsid w:val="2FE57FED"/>
    <w:rsid w:val="30656A38"/>
    <w:rsid w:val="31B5579D"/>
    <w:rsid w:val="33072028"/>
    <w:rsid w:val="336254B1"/>
    <w:rsid w:val="33791178"/>
    <w:rsid w:val="361707D4"/>
    <w:rsid w:val="362A0508"/>
    <w:rsid w:val="3814321D"/>
    <w:rsid w:val="3A373ED7"/>
    <w:rsid w:val="3A4D2A17"/>
    <w:rsid w:val="3B491430"/>
    <w:rsid w:val="40477F08"/>
    <w:rsid w:val="41A76EB0"/>
    <w:rsid w:val="42AE426E"/>
    <w:rsid w:val="42C13FA2"/>
    <w:rsid w:val="46496788"/>
    <w:rsid w:val="494B2817"/>
    <w:rsid w:val="49DF11B1"/>
    <w:rsid w:val="4CFB0BF7"/>
    <w:rsid w:val="4E0538DC"/>
    <w:rsid w:val="4EC05A55"/>
    <w:rsid w:val="53BB67EB"/>
    <w:rsid w:val="56C43C09"/>
    <w:rsid w:val="57B819BF"/>
    <w:rsid w:val="58353010"/>
    <w:rsid w:val="58B928A7"/>
    <w:rsid w:val="593E7CA2"/>
    <w:rsid w:val="5A9102A6"/>
    <w:rsid w:val="5B2630E4"/>
    <w:rsid w:val="5DE067CB"/>
    <w:rsid w:val="5FAB3073"/>
    <w:rsid w:val="62A768B8"/>
    <w:rsid w:val="62E47B0C"/>
    <w:rsid w:val="63220635"/>
    <w:rsid w:val="6382016A"/>
    <w:rsid w:val="66B23A7E"/>
    <w:rsid w:val="673B3A73"/>
    <w:rsid w:val="688A5CB1"/>
    <w:rsid w:val="68B7537B"/>
    <w:rsid w:val="696A0640"/>
    <w:rsid w:val="71CA611F"/>
    <w:rsid w:val="733D16EA"/>
    <w:rsid w:val="74C0380A"/>
    <w:rsid w:val="756A3F99"/>
    <w:rsid w:val="768947FB"/>
    <w:rsid w:val="7735228D"/>
    <w:rsid w:val="7BA43E85"/>
    <w:rsid w:val="7CC10F2B"/>
    <w:rsid w:val="7D396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F2A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4F2A8A"/>
    <w:rPr>
      <w:sz w:val="18"/>
      <w:szCs w:val="18"/>
    </w:rPr>
  </w:style>
  <w:style w:type="paragraph" w:styleId="a4">
    <w:name w:val="footer"/>
    <w:basedOn w:val="a"/>
    <w:link w:val="Char0"/>
    <w:autoRedefine/>
    <w:uiPriority w:val="99"/>
    <w:semiHidden/>
    <w:unhideWhenUsed/>
    <w:qFormat/>
    <w:rsid w:val="004F2A8A"/>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4F2A8A"/>
    <w:pPr>
      <w:pBdr>
        <w:bottom w:val="single" w:sz="6" w:space="1" w:color="auto"/>
      </w:pBdr>
      <w:tabs>
        <w:tab w:val="center" w:pos="4153"/>
        <w:tab w:val="right" w:pos="8306"/>
      </w:tabs>
      <w:snapToGrid w:val="0"/>
      <w:jc w:val="center"/>
    </w:pPr>
    <w:rPr>
      <w:sz w:val="18"/>
      <w:szCs w:val="18"/>
    </w:rPr>
  </w:style>
  <w:style w:type="character" w:styleId="a6">
    <w:name w:val="footnote reference"/>
    <w:basedOn w:val="a0"/>
    <w:autoRedefine/>
    <w:uiPriority w:val="99"/>
    <w:unhideWhenUsed/>
    <w:qFormat/>
    <w:rsid w:val="004F2A8A"/>
    <w:rPr>
      <w:vertAlign w:val="superscript"/>
    </w:rPr>
  </w:style>
  <w:style w:type="character" w:customStyle="1" w:styleId="Char1">
    <w:name w:val="页眉 Char"/>
    <w:basedOn w:val="a0"/>
    <w:link w:val="a5"/>
    <w:autoRedefine/>
    <w:uiPriority w:val="99"/>
    <w:semiHidden/>
    <w:qFormat/>
    <w:rsid w:val="004F2A8A"/>
    <w:rPr>
      <w:rFonts w:asciiTheme="minorHAnsi" w:eastAsiaTheme="minorEastAsia" w:hAnsiTheme="minorHAnsi" w:cstheme="minorBidi"/>
      <w:kern w:val="2"/>
      <w:sz w:val="18"/>
      <w:szCs w:val="18"/>
    </w:rPr>
  </w:style>
  <w:style w:type="character" w:customStyle="1" w:styleId="Char0">
    <w:name w:val="页脚 Char"/>
    <w:basedOn w:val="a0"/>
    <w:link w:val="a4"/>
    <w:autoRedefine/>
    <w:uiPriority w:val="99"/>
    <w:semiHidden/>
    <w:qFormat/>
    <w:rsid w:val="004F2A8A"/>
    <w:rPr>
      <w:rFonts w:asciiTheme="minorHAnsi" w:eastAsiaTheme="minorEastAsia" w:hAnsiTheme="minorHAnsi" w:cstheme="minorBidi"/>
      <w:kern w:val="2"/>
      <w:sz w:val="18"/>
      <w:szCs w:val="18"/>
    </w:rPr>
  </w:style>
  <w:style w:type="character" w:customStyle="1" w:styleId="Char">
    <w:name w:val="批注框文本 Char"/>
    <w:basedOn w:val="a0"/>
    <w:link w:val="a3"/>
    <w:autoRedefine/>
    <w:uiPriority w:val="99"/>
    <w:semiHidden/>
    <w:qFormat/>
    <w:rsid w:val="004F2A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3855-1F11-490F-B27F-68C812F3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599</Words>
  <Characters>3416</Characters>
  <Application>Microsoft Office Word</Application>
  <DocSecurity>0</DocSecurity>
  <Lines>28</Lines>
  <Paragraphs>8</Paragraphs>
  <ScaleCrop>false</ScaleCrop>
  <Company>Microsoft</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9</cp:revision>
  <cp:lastPrinted>2024-01-23T01:06:00Z</cp:lastPrinted>
  <dcterms:created xsi:type="dcterms:W3CDTF">2024-02-29T01:10:00Z</dcterms:created>
  <dcterms:modified xsi:type="dcterms:W3CDTF">2024-02-29T01:18:00Z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880900D886A64EDE9189781C6B973FF0_12</vt:lpwstr>
  </property>
</Properties>
</file>