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3E" w:rsidRPr="00D63F3E" w:rsidRDefault="00D63F3E" w:rsidP="00D63F3E">
      <w:pPr>
        <w:jc w:val="center"/>
        <w:rPr>
          <w:rFonts w:ascii="黑体" w:eastAsia="黑体" w:hint="eastAsia"/>
          <w:sz w:val="44"/>
          <w:szCs w:val="44"/>
        </w:rPr>
      </w:pPr>
      <w:r w:rsidRPr="00D63F3E">
        <w:rPr>
          <w:rFonts w:ascii="黑体" w:eastAsia="黑体" w:hint="eastAsia"/>
          <w:sz w:val="44"/>
          <w:szCs w:val="44"/>
        </w:rPr>
        <w:t>2021年项目支出绩效目标情况说明</w:t>
      </w:r>
    </w:p>
    <w:p w:rsidR="00D63F3E" w:rsidRDefault="00D63F3E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</w:t>
      </w:r>
    </w:p>
    <w:p w:rsidR="00997AD2" w:rsidRPr="00D63F3E" w:rsidRDefault="00D63F3E" w:rsidP="00D63F3E">
      <w:pPr>
        <w:ind w:firstLineChars="300" w:firstLine="1080"/>
        <w:rPr>
          <w:rFonts w:asciiTheme="minorEastAsia" w:hAnsiTheme="minorEastAsia" w:hint="eastAsia"/>
          <w:sz w:val="36"/>
          <w:szCs w:val="36"/>
        </w:rPr>
      </w:pPr>
      <w:r w:rsidRPr="00D63F3E">
        <w:rPr>
          <w:rFonts w:asciiTheme="minorEastAsia" w:hAnsiTheme="minorEastAsia"/>
          <w:sz w:val="36"/>
          <w:szCs w:val="36"/>
        </w:rPr>
        <w:t>进一步强化“花钱必问效，无效必问责”的财政资金管 理理念，严格绩效目标审核，硬化绩效目标约束，确保设定 的绩效目标和指标与工作任务或实施的计划相对应，与申报 的财政预算资金相匹配。2018 年望花区项目支出绩效目标实 现全覆盖。</w:t>
      </w:r>
    </w:p>
    <w:sectPr w:rsidR="00997AD2" w:rsidRPr="00D63F3E" w:rsidSect="0099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F3E"/>
    <w:rsid w:val="002722FC"/>
    <w:rsid w:val="00997AD2"/>
    <w:rsid w:val="00A677E5"/>
    <w:rsid w:val="00AF3D07"/>
    <w:rsid w:val="00D63F3E"/>
    <w:rsid w:val="00EA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2022-05-18T06:25:00Z</dcterms:created>
  <dcterms:modified xsi:type="dcterms:W3CDTF">2022-05-18T06:27:00Z</dcterms:modified>
</cp:coreProperties>
</file>