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pageBreakBefore w:val="0"/>
        <w:kinsoku/>
        <w:wordWrap/>
        <w:overflowPunct w:val="0"/>
        <w:topLinePunct w:val="0"/>
        <w:bidi w:val="0"/>
        <w:spacing w:line="720" w:lineRule="exact"/>
        <w:ind w:right="0" w:rightChars="0"/>
        <w:jc w:val="center"/>
        <w:rPr>
          <w:rFonts w:hint="eastAsia" w:ascii="仿宋_GB2312" w:hAnsi="仿宋_GB2312" w:eastAsia="仿宋_GB2312" w:cs="仿宋_GB2312"/>
          <w:b/>
          <w:bCs/>
          <w:sz w:val="44"/>
          <w:szCs w:val="44"/>
        </w:rPr>
      </w:pPr>
    </w:p>
    <w:p>
      <w:pPr>
        <w:pageBreakBefore w:val="0"/>
        <w:kinsoku/>
        <w:wordWrap/>
        <w:overflowPunct w:val="0"/>
        <w:topLinePunct w:val="0"/>
        <w:bidi w:val="0"/>
        <w:spacing w:line="720" w:lineRule="exact"/>
        <w:ind w:right="0" w:rightChars="0"/>
        <w:jc w:val="center"/>
        <w:rPr>
          <w:rFonts w:hint="eastAsia" w:ascii="方正小标宋简体" w:hAnsi="宋体" w:eastAsia="方正小标宋简体" w:cs="宋体"/>
          <w:bCs/>
          <w:sz w:val="44"/>
          <w:szCs w:val="44"/>
        </w:rPr>
      </w:pPr>
      <w:r>
        <w:rPr>
          <w:rFonts w:hint="eastAsia" w:ascii="方正小标宋简体" w:hAnsi="宋体" w:eastAsia="方正小标宋简体" w:cs="宋体"/>
          <w:bCs/>
          <w:sz w:val="44"/>
          <w:szCs w:val="44"/>
          <w:lang w:eastAsia="zh-CN"/>
        </w:rPr>
        <w:t>抚顺市</w:t>
      </w:r>
      <w:r>
        <w:rPr>
          <w:rFonts w:hint="eastAsia" w:ascii="方正小标宋简体" w:hAnsi="宋体" w:eastAsia="方正小标宋简体" w:cs="宋体"/>
          <w:bCs/>
          <w:sz w:val="44"/>
          <w:szCs w:val="44"/>
        </w:rPr>
        <w:t>望花区国民经济和社会发展</w:t>
      </w:r>
    </w:p>
    <w:p>
      <w:pPr>
        <w:pageBreakBefore w:val="0"/>
        <w:kinsoku/>
        <w:wordWrap/>
        <w:overflowPunct w:val="0"/>
        <w:topLinePunct w:val="0"/>
        <w:bidi w:val="0"/>
        <w:spacing w:line="720" w:lineRule="exact"/>
        <w:ind w:right="0" w:rightChars="0"/>
        <w:jc w:val="center"/>
        <w:rPr>
          <w:rFonts w:hint="eastAsia" w:ascii="方正小标宋简体" w:hAnsi="宋体" w:eastAsia="方正小标宋简体" w:cs="宋体"/>
          <w:bCs/>
          <w:sz w:val="44"/>
          <w:szCs w:val="44"/>
        </w:rPr>
      </w:pPr>
      <w:r>
        <w:rPr>
          <w:rFonts w:hint="eastAsia" w:ascii="方正小标宋简体" w:hAnsi="宋体" w:eastAsia="方正小标宋简体" w:cs="宋体"/>
          <w:bCs/>
          <w:sz w:val="44"/>
          <w:szCs w:val="44"/>
        </w:rPr>
        <w:t>第十三个五年规划纲要</w:t>
      </w:r>
      <w:r>
        <w:rPr>
          <w:rFonts w:hint="eastAsia" w:ascii="方正小标宋简体" w:hAnsi="宋体" w:eastAsia="方正小标宋简体" w:cs="宋体"/>
          <w:bCs/>
          <w:sz w:val="44"/>
          <w:szCs w:val="44"/>
          <w:lang w:eastAsia="zh-CN"/>
        </w:rPr>
        <w:t>（草案）</w:t>
      </w:r>
    </w:p>
    <w:p>
      <w:pPr>
        <w:pageBreakBefore w:val="0"/>
        <w:kinsoku/>
        <w:wordWrap/>
        <w:overflowPunct w:val="0"/>
        <w:topLinePunct w:val="0"/>
        <w:bidi w:val="0"/>
        <w:spacing w:line="720" w:lineRule="exact"/>
        <w:ind w:right="0" w:rightChars="0"/>
        <w:rPr>
          <w:rFonts w:hint="eastAsia" w:ascii="方正大标宋简体" w:hAnsi="华文中宋" w:eastAsia="方正大标宋简体"/>
          <w:sz w:val="44"/>
          <w:szCs w:val="44"/>
        </w:rPr>
      </w:pPr>
    </w:p>
    <w:p>
      <w:pPr>
        <w:pageBreakBefore w:val="0"/>
        <w:kinsoku/>
        <w:wordWrap/>
        <w:overflowPunct w:val="0"/>
        <w:topLinePunct w:val="0"/>
        <w:bidi w:val="0"/>
        <w:spacing w:line="720" w:lineRule="exact"/>
        <w:ind w:right="0" w:rightChars="0"/>
        <w:jc w:val="center"/>
        <w:rPr>
          <w:rFonts w:hint="eastAsia" w:ascii="方正大标宋简体" w:hAnsi="华文中宋" w:eastAsia="方正大标宋简体"/>
          <w:sz w:val="44"/>
          <w:szCs w:val="44"/>
        </w:rPr>
      </w:pPr>
    </w:p>
    <w:p>
      <w:pPr>
        <w:pageBreakBefore w:val="0"/>
        <w:kinsoku/>
        <w:wordWrap/>
        <w:overflowPunct w:val="0"/>
        <w:topLinePunct w:val="0"/>
        <w:bidi w:val="0"/>
        <w:spacing w:line="720" w:lineRule="exact"/>
        <w:ind w:right="0" w:rightChars="0"/>
        <w:jc w:val="center"/>
        <w:rPr>
          <w:rFonts w:hint="eastAsia" w:ascii="方正大标宋简体" w:hAnsi="华文中宋" w:eastAsia="方正大标宋简体"/>
          <w:sz w:val="44"/>
          <w:szCs w:val="44"/>
        </w:rPr>
      </w:pPr>
    </w:p>
    <w:p>
      <w:pPr>
        <w:pageBreakBefore w:val="0"/>
        <w:kinsoku/>
        <w:wordWrap/>
        <w:overflowPunct w:val="0"/>
        <w:topLinePunct w:val="0"/>
        <w:bidi w:val="0"/>
        <w:spacing w:line="720" w:lineRule="exact"/>
        <w:ind w:right="0" w:rightChars="0"/>
        <w:jc w:val="center"/>
        <w:rPr>
          <w:rFonts w:hint="eastAsia" w:ascii="方正大标宋简体" w:hAnsi="华文中宋" w:eastAsia="方正大标宋简体"/>
          <w:sz w:val="44"/>
          <w:szCs w:val="44"/>
        </w:rPr>
      </w:pPr>
    </w:p>
    <w:p>
      <w:pPr>
        <w:pageBreakBefore w:val="0"/>
        <w:kinsoku/>
        <w:wordWrap/>
        <w:overflowPunct w:val="0"/>
        <w:topLinePunct w:val="0"/>
        <w:bidi w:val="0"/>
        <w:spacing w:line="720" w:lineRule="exact"/>
        <w:ind w:right="0" w:rightChars="0"/>
        <w:jc w:val="center"/>
        <w:rPr>
          <w:rFonts w:hint="eastAsia" w:ascii="方正大标宋简体" w:hAnsi="华文中宋" w:eastAsia="方正大标宋简体"/>
          <w:sz w:val="44"/>
          <w:szCs w:val="44"/>
        </w:rPr>
      </w:pPr>
    </w:p>
    <w:p>
      <w:pPr>
        <w:pageBreakBefore w:val="0"/>
        <w:kinsoku/>
        <w:wordWrap/>
        <w:overflowPunct w:val="0"/>
        <w:topLinePunct w:val="0"/>
        <w:bidi w:val="0"/>
        <w:spacing w:line="720" w:lineRule="exact"/>
        <w:ind w:right="0" w:rightChars="0"/>
        <w:jc w:val="center"/>
        <w:rPr>
          <w:rFonts w:hint="eastAsia" w:ascii="方正大标宋简体" w:hAnsi="华文中宋" w:eastAsia="方正大标宋简体"/>
          <w:sz w:val="44"/>
          <w:szCs w:val="44"/>
        </w:rPr>
      </w:pPr>
    </w:p>
    <w:p>
      <w:pPr>
        <w:pageBreakBefore w:val="0"/>
        <w:kinsoku/>
        <w:wordWrap/>
        <w:overflowPunct w:val="0"/>
        <w:topLinePunct w:val="0"/>
        <w:bidi w:val="0"/>
        <w:spacing w:line="720" w:lineRule="exact"/>
        <w:ind w:right="0" w:rightChars="0"/>
        <w:jc w:val="center"/>
        <w:rPr>
          <w:rFonts w:hint="eastAsia" w:ascii="方正大标宋简体" w:hAnsi="华文中宋" w:eastAsia="方正大标宋简体"/>
          <w:sz w:val="44"/>
          <w:szCs w:val="44"/>
        </w:rPr>
      </w:pPr>
    </w:p>
    <w:p>
      <w:pPr>
        <w:pageBreakBefore w:val="0"/>
        <w:kinsoku/>
        <w:wordWrap/>
        <w:overflowPunct w:val="0"/>
        <w:topLinePunct w:val="0"/>
        <w:bidi w:val="0"/>
        <w:spacing w:line="720" w:lineRule="exact"/>
        <w:ind w:right="0" w:rightChars="0"/>
        <w:jc w:val="center"/>
        <w:rPr>
          <w:rFonts w:hint="eastAsia" w:ascii="方正大标宋简体" w:hAnsi="华文中宋" w:eastAsia="方正大标宋简体"/>
          <w:sz w:val="44"/>
          <w:szCs w:val="44"/>
        </w:rPr>
      </w:pPr>
    </w:p>
    <w:p>
      <w:pPr>
        <w:pageBreakBefore w:val="0"/>
        <w:kinsoku/>
        <w:wordWrap/>
        <w:overflowPunct w:val="0"/>
        <w:topLinePunct w:val="0"/>
        <w:bidi w:val="0"/>
        <w:spacing w:line="720" w:lineRule="exact"/>
        <w:ind w:right="0" w:rightChars="0"/>
        <w:jc w:val="center"/>
        <w:rPr>
          <w:rFonts w:hint="eastAsia" w:ascii="方正大标宋简体" w:hAnsi="华文中宋" w:eastAsia="方正大标宋简体"/>
          <w:sz w:val="44"/>
          <w:szCs w:val="44"/>
        </w:rPr>
      </w:pPr>
    </w:p>
    <w:p>
      <w:pPr>
        <w:pageBreakBefore w:val="0"/>
        <w:kinsoku/>
        <w:wordWrap/>
        <w:overflowPunct w:val="0"/>
        <w:topLinePunct w:val="0"/>
        <w:bidi w:val="0"/>
        <w:spacing w:line="720" w:lineRule="exact"/>
        <w:ind w:right="0" w:rightChars="0"/>
        <w:jc w:val="center"/>
        <w:rPr>
          <w:rFonts w:hint="eastAsia" w:ascii="宋体" w:hAnsi="宋体" w:cs="宋体"/>
          <w:sz w:val="32"/>
          <w:szCs w:val="32"/>
        </w:rPr>
      </w:pPr>
      <w:r>
        <w:rPr>
          <w:rFonts w:hint="eastAsia" w:ascii="宋体" w:hAnsi="宋体" w:cs="宋体"/>
          <w:sz w:val="32"/>
          <w:szCs w:val="32"/>
        </w:rPr>
        <w:t>望花区人民政府</w:t>
      </w:r>
    </w:p>
    <w:p>
      <w:pPr>
        <w:pageBreakBefore w:val="0"/>
        <w:kinsoku/>
        <w:wordWrap/>
        <w:overflowPunct w:val="0"/>
        <w:topLinePunct w:val="0"/>
        <w:bidi w:val="0"/>
        <w:spacing w:line="720" w:lineRule="exact"/>
        <w:ind w:right="0" w:rightChars="0"/>
        <w:jc w:val="center"/>
        <w:rPr>
          <w:rFonts w:hint="eastAsia" w:ascii="宋体" w:hAnsi="宋体" w:cs="宋体"/>
          <w:sz w:val="32"/>
          <w:szCs w:val="32"/>
        </w:rPr>
      </w:pPr>
      <w:r>
        <w:rPr>
          <w:rFonts w:hint="eastAsia" w:ascii="宋体" w:hAnsi="宋体" w:cs="宋体"/>
          <w:sz w:val="32"/>
          <w:szCs w:val="32"/>
        </w:rPr>
        <w:t>二〇一五年</w:t>
      </w:r>
      <w:r>
        <w:rPr>
          <w:rFonts w:hint="eastAsia" w:ascii="宋体" w:hAnsi="宋体" w:cs="宋体"/>
          <w:sz w:val="32"/>
          <w:szCs w:val="32"/>
          <w:lang w:eastAsia="zh-CN"/>
        </w:rPr>
        <w:t>十二</w:t>
      </w:r>
      <w:r>
        <w:rPr>
          <w:rFonts w:hint="eastAsia" w:ascii="宋体" w:hAnsi="宋体" w:cs="宋体"/>
          <w:sz w:val="32"/>
          <w:szCs w:val="32"/>
        </w:rPr>
        <w:t>月</w:t>
      </w:r>
      <w:r>
        <w:rPr>
          <w:rFonts w:hint="eastAsia" w:ascii="宋体" w:hAnsi="宋体" w:cs="宋体"/>
          <w:sz w:val="32"/>
          <w:szCs w:val="32"/>
          <w:lang w:eastAsia="zh-CN"/>
        </w:rPr>
        <w:t>二十二</w:t>
      </w:r>
      <w:r>
        <w:rPr>
          <w:rFonts w:hint="eastAsia" w:ascii="宋体" w:hAnsi="宋体" w:cs="宋体"/>
          <w:sz w:val="32"/>
          <w:szCs w:val="32"/>
        </w:rPr>
        <w:t>日</w:t>
      </w:r>
    </w:p>
    <w:p>
      <w:pPr>
        <w:pageBreakBefore w:val="0"/>
        <w:kinsoku/>
        <w:wordWrap/>
        <w:overflowPunct w:val="0"/>
        <w:topLinePunct w:val="0"/>
        <w:bidi w:val="0"/>
        <w:spacing w:line="720" w:lineRule="exact"/>
        <w:ind w:right="0" w:rightChars="0"/>
        <w:jc w:val="center"/>
        <w:rPr>
          <w:rFonts w:hint="eastAsia" w:ascii="宋体" w:hAnsi="宋体" w:cs="宋体"/>
          <w:sz w:val="32"/>
          <w:szCs w:val="32"/>
        </w:rPr>
      </w:pPr>
    </w:p>
    <w:p>
      <w:pPr>
        <w:pageBreakBefore w:val="0"/>
        <w:kinsoku/>
        <w:wordWrap/>
        <w:overflowPunct w:val="0"/>
        <w:topLinePunct w:val="0"/>
        <w:bidi w:val="0"/>
        <w:spacing w:line="720" w:lineRule="exact"/>
        <w:ind w:right="0" w:rightChars="0"/>
        <w:jc w:val="center"/>
        <w:rPr>
          <w:rFonts w:hint="eastAsia" w:ascii="宋体" w:hAnsi="宋体" w:cs="宋体"/>
          <w:sz w:val="32"/>
          <w:szCs w:val="32"/>
        </w:rPr>
      </w:pPr>
    </w:p>
    <w:p>
      <w:pPr>
        <w:pageBreakBefore w:val="0"/>
        <w:kinsoku/>
        <w:wordWrap/>
        <w:overflowPunct w:val="0"/>
        <w:topLinePunct w:val="0"/>
        <w:bidi w:val="0"/>
        <w:spacing w:line="720" w:lineRule="exact"/>
        <w:ind w:right="0" w:rightChars="0"/>
        <w:jc w:val="center"/>
        <w:rPr>
          <w:rFonts w:hint="eastAsia" w:ascii="宋体" w:hAnsi="宋体" w:cs="宋体"/>
          <w:b/>
          <w:bCs/>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2098" w:right="1531" w:bottom="1440" w:left="1531" w:header="851" w:footer="992" w:gutter="0"/>
          <w:pgBorders>
            <w:top w:val="none" w:color="auto" w:sz="0" w:space="0"/>
            <w:left w:val="none" w:color="auto" w:sz="0" w:space="0"/>
            <w:bottom w:val="none" w:color="auto" w:sz="0" w:space="0"/>
            <w:right w:val="none" w:color="auto" w:sz="0" w:space="0"/>
          </w:pgBorders>
          <w:pgNumType w:fmt="decimal" w:start="1"/>
          <w:cols w:space="720" w:num="1"/>
          <w:docGrid w:type="lines" w:linePitch="312" w:charSpace="0"/>
        </w:sectPr>
      </w:pPr>
    </w:p>
    <w:p>
      <w:pPr>
        <w:pageBreakBefore w:val="0"/>
        <w:kinsoku/>
        <w:wordWrap/>
        <w:overflowPunct w:val="0"/>
        <w:topLinePunct w:val="0"/>
        <w:bidi w:val="0"/>
        <w:spacing w:line="720" w:lineRule="exact"/>
        <w:ind w:right="0" w:rightChars="0"/>
        <w:jc w:val="center"/>
        <w:rPr>
          <w:rFonts w:hint="eastAsia" w:ascii="宋体" w:hAnsi="宋体" w:cs="宋体"/>
          <w:b/>
          <w:bCs/>
          <w:sz w:val="44"/>
          <w:szCs w:val="44"/>
        </w:rPr>
      </w:pPr>
      <w:r>
        <w:rPr>
          <w:rFonts w:hint="eastAsia" w:ascii="宋体" w:hAnsi="宋体" w:cs="宋体"/>
          <w:b/>
          <w:bCs/>
          <w:sz w:val="44"/>
          <w:szCs w:val="44"/>
        </w:rPr>
        <w:t>目  录</w:t>
      </w:r>
    </w:p>
    <w:p>
      <w:pPr>
        <w:pageBreakBefore w:val="0"/>
        <w:kinsoku/>
        <w:wordWrap/>
        <w:overflowPunct w:val="0"/>
        <w:topLinePunct w:val="0"/>
        <w:bidi w:val="0"/>
        <w:spacing w:line="720" w:lineRule="exact"/>
        <w:ind w:right="0" w:rightChars="0"/>
        <w:jc w:val="center"/>
        <w:rPr>
          <w:rFonts w:hint="eastAsia" w:ascii="宋体" w:hAnsi="宋体" w:cs="宋体"/>
          <w:b/>
          <w:bCs/>
          <w:sz w:val="44"/>
          <w:szCs w:val="44"/>
        </w:rPr>
      </w:pPr>
    </w:p>
    <w:p>
      <w:pPr>
        <w:pStyle w:val="6"/>
        <w:tabs>
          <w:tab w:val="right" w:leader="dot" w:pos="8844"/>
        </w:tabs>
        <w:rPr>
          <w:rFonts w:eastAsia="宋体" w:asciiTheme="minorHAnsi" w:hAnsiTheme="minorHAnsi" w:cstheme="minorBidi"/>
          <w:kern w:val="2"/>
          <w:szCs w:val="24"/>
          <w:lang w:val="en-US" w:eastAsia="zh-CN" w:bidi="ar-SA"/>
        </w:rPr>
      </w:pPr>
      <w:r>
        <w:rPr>
          <w:rFonts w:hint="eastAsia" w:ascii="黑体" w:eastAsia="黑体"/>
          <w:sz w:val="32"/>
          <w:szCs w:val="32"/>
        </w:rPr>
        <w:fldChar w:fldCharType="begin"/>
      </w:r>
      <w:r>
        <w:rPr>
          <w:rFonts w:hint="eastAsia" w:ascii="黑体" w:eastAsia="黑体"/>
          <w:sz w:val="32"/>
          <w:szCs w:val="32"/>
        </w:rPr>
        <w:instrText xml:space="preserve">TOC \o "1-2" \h \u </w:instrText>
      </w:r>
      <w:r>
        <w:rPr>
          <w:rFonts w:hint="eastAsia" w:ascii="黑体" w:eastAsia="黑体"/>
          <w:sz w:val="32"/>
          <w:szCs w:val="32"/>
        </w:rPr>
        <w:fldChar w:fldCharType="separate"/>
      </w:r>
      <w:r>
        <w:rPr>
          <w:rFonts w:hint="eastAsia" w:ascii="黑体" w:eastAsia="黑体" w:hAnsiTheme="minorHAnsi" w:cstheme="minorBidi"/>
          <w:kern w:val="2"/>
          <w:szCs w:val="32"/>
          <w:lang w:val="en-US" w:eastAsia="zh-CN" w:bidi="ar-SA"/>
        </w:rPr>
        <w:fldChar w:fldCharType="begin"/>
      </w:r>
      <w:r>
        <w:rPr>
          <w:rFonts w:hint="eastAsia" w:ascii="黑体" w:eastAsia="黑体" w:hAnsiTheme="minorHAnsi" w:cstheme="minorBidi"/>
          <w:kern w:val="2"/>
          <w:szCs w:val="32"/>
          <w:lang w:val="en-US" w:eastAsia="zh-CN" w:bidi="ar-SA"/>
        </w:rPr>
        <w:instrText xml:space="preserve"> HYPERLINK \l _Toc28081 </w:instrText>
      </w:r>
      <w:r>
        <w:rPr>
          <w:rFonts w:hint="eastAsia" w:ascii="黑体" w:eastAsia="黑体" w:hAnsiTheme="minorHAnsi" w:cstheme="minorBidi"/>
          <w:kern w:val="2"/>
          <w:szCs w:val="32"/>
          <w:lang w:val="en-US" w:eastAsia="zh-CN" w:bidi="ar-SA"/>
        </w:rPr>
        <w:fldChar w:fldCharType="separate"/>
      </w:r>
      <w:r>
        <w:rPr>
          <w:rFonts w:hint="eastAsia" w:eastAsia="宋体" w:asciiTheme="minorHAnsi" w:hAnsiTheme="minorHAnsi" w:cstheme="minorBidi"/>
          <w:kern w:val="2"/>
          <w:szCs w:val="24"/>
          <w:lang w:val="en-US" w:eastAsia="zh-CN" w:bidi="ar-SA"/>
        </w:rPr>
        <w:t>前  言</w:t>
      </w:r>
      <w:r>
        <w:rPr>
          <w:rFonts w:eastAsia="宋体" w:asciiTheme="minorHAnsi" w:hAnsiTheme="minorHAnsi" w:cstheme="minorBidi"/>
          <w:kern w:val="2"/>
          <w:szCs w:val="24"/>
          <w:lang w:val="en-US" w:eastAsia="zh-CN" w:bidi="ar-SA"/>
        </w:rPr>
        <w:tab/>
      </w:r>
      <w:r>
        <w:rPr>
          <w:rFonts w:eastAsia="宋体" w:asciiTheme="minorHAnsi" w:hAnsiTheme="minorHAnsi" w:cstheme="minorBidi"/>
          <w:kern w:val="2"/>
          <w:szCs w:val="24"/>
          <w:lang w:val="en-US" w:eastAsia="zh-CN" w:bidi="ar-SA"/>
        </w:rPr>
        <w:fldChar w:fldCharType="begin"/>
      </w:r>
      <w:r>
        <w:rPr>
          <w:rFonts w:eastAsia="宋体" w:asciiTheme="minorHAnsi" w:hAnsiTheme="minorHAnsi" w:cstheme="minorBidi"/>
          <w:kern w:val="2"/>
          <w:szCs w:val="24"/>
          <w:lang w:val="en-US" w:eastAsia="zh-CN" w:bidi="ar-SA"/>
        </w:rPr>
        <w:instrText xml:space="preserve"> PAGEREF _Toc28081 </w:instrText>
      </w:r>
      <w:r>
        <w:rPr>
          <w:rFonts w:eastAsia="宋体" w:asciiTheme="minorHAnsi" w:hAnsiTheme="minorHAnsi" w:cstheme="minorBidi"/>
          <w:kern w:val="2"/>
          <w:szCs w:val="24"/>
          <w:lang w:val="en-US" w:eastAsia="zh-CN" w:bidi="ar-SA"/>
        </w:rPr>
        <w:fldChar w:fldCharType="separate"/>
      </w:r>
      <w:r>
        <w:rPr>
          <w:rFonts w:eastAsia="宋体" w:asciiTheme="minorHAnsi" w:hAnsiTheme="minorHAnsi" w:cstheme="minorBidi"/>
          <w:kern w:val="2"/>
          <w:szCs w:val="24"/>
          <w:lang w:val="en-US" w:eastAsia="zh-CN" w:bidi="ar-SA"/>
        </w:rPr>
        <w:t>1</w:t>
      </w:r>
      <w:r>
        <w:rPr>
          <w:rFonts w:eastAsia="宋体" w:asciiTheme="minorHAnsi" w:hAnsiTheme="minorHAnsi" w:cstheme="minorBidi"/>
          <w:kern w:val="2"/>
          <w:szCs w:val="24"/>
          <w:lang w:val="en-US" w:eastAsia="zh-CN" w:bidi="ar-SA"/>
        </w:rPr>
        <w:fldChar w:fldCharType="end"/>
      </w:r>
      <w:r>
        <w:rPr>
          <w:rFonts w:hint="eastAsia" w:ascii="黑体" w:eastAsia="黑体" w:hAnsiTheme="minorHAnsi" w:cstheme="minorBidi"/>
          <w:kern w:val="2"/>
          <w:szCs w:val="32"/>
          <w:lang w:val="en-US" w:eastAsia="zh-CN" w:bidi="ar-SA"/>
        </w:rPr>
        <w:fldChar w:fldCharType="end"/>
      </w:r>
    </w:p>
    <w:p>
      <w:pPr>
        <w:pStyle w:val="6"/>
        <w:tabs>
          <w:tab w:val="right" w:leader="dot" w:pos="8844"/>
        </w:tabs>
        <w:rPr>
          <w:rFonts w:eastAsia="宋体" w:asciiTheme="minorHAnsi" w:hAnsiTheme="minorHAnsi" w:cstheme="minorBidi"/>
          <w:kern w:val="2"/>
          <w:szCs w:val="24"/>
          <w:lang w:val="en-US" w:eastAsia="zh-CN" w:bidi="ar-SA"/>
        </w:rPr>
      </w:pPr>
      <w:r>
        <w:rPr>
          <w:rFonts w:hint="eastAsia" w:ascii="黑体" w:eastAsia="黑体" w:hAnsiTheme="minorHAnsi" w:cstheme="minorBidi"/>
          <w:kern w:val="2"/>
          <w:szCs w:val="32"/>
          <w:lang w:val="en-US" w:eastAsia="zh-CN" w:bidi="ar-SA"/>
        </w:rPr>
        <w:fldChar w:fldCharType="begin"/>
      </w:r>
      <w:r>
        <w:rPr>
          <w:rFonts w:hint="eastAsia" w:ascii="黑体" w:eastAsia="黑体" w:hAnsiTheme="minorHAnsi" w:cstheme="minorBidi"/>
          <w:kern w:val="2"/>
          <w:szCs w:val="32"/>
          <w:lang w:val="en-US" w:eastAsia="zh-CN" w:bidi="ar-SA"/>
        </w:rPr>
        <w:instrText xml:space="preserve"> HYPERLINK \l _Toc32571 </w:instrText>
      </w:r>
      <w:r>
        <w:rPr>
          <w:rFonts w:hint="eastAsia" w:ascii="黑体" w:eastAsia="黑体" w:hAnsiTheme="minorHAnsi" w:cstheme="minorBidi"/>
          <w:kern w:val="2"/>
          <w:szCs w:val="32"/>
          <w:lang w:val="en-US" w:eastAsia="zh-CN" w:bidi="ar-SA"/>
        </w:rPr>
        <w:fldChar w:fldCharType="separate"/>
      </w:r>
      <w:r>
        <w:rPr>
          <w:rFonts w:hint="eastAsia" w:eastAsia="宋体" w:asciiTheme="minorHAnsi" w:hAnsiTheme="minorHAnsi" w:cstheme="minorBidi"/>
          <w:kern w:val="2"/>
          <w:szCs w:val="24"/>
          <w:lang w:val="en-US" w:eastAsia="zh-CN" w:bidi="ar-SA"/>
        </w:rPr>
        <w:t>第一章  发展基础和编制背景</w:t>
      </w:r>
      <w:r>
        <w:rPr>
          <w:rFonts w:eastAsia="宋体" w:asciiTheme="minorHAnsi" w:hAnsiTheme="minorHAnsi" w:cstheme="minorBidi"/>
          <w:kern w:val="2"/>
          <w:szCs w:val="24"/>
          <w:lang w:val="en-US" w:eastAsia="zh-CN" w:bidi="ar-SA"/>
        </w:rPr>
        <w:tab/>
      </w:r>
      <w:r>
        <w:rPr>
          <w:rFonts w:eastAsia="宋体" w:asciiTheme="minorHAnsi" w:hAnsiTheme="minorHAnsi" w:cstheme="minorBidi"/>
          <w:kern w:val="2"/>
          <w:szCs w:val="24"/>
          <w:lang w:val="en-US" w:eastAsia="zh-CN" w:bidi="ar-SA"/>
        </w:rPr>
        <w:fldChar w:fldCharType="begin"/>
      </w:r>
      <w:r>
        <w:rPr>
          <w:rFonts w:eastAsia="宋体" w:asciiTheme="minorHAnsi" w:hAnsiTheme="minorHAnsi" w:cstheme="minorBidi"/>
          <w:kern w:val="2"/>
          <w:szCs w:val="24"/>
          <w:lang w:val="en-US" w:eastAsia="zh-CN" w:bidi="ar-SA"/>
        </w:rPr>
        <w:instrText xml:space="preserve"> PAGEREF _Toc32571 </w:instrText>
      </w:r>
      <w:r>
        <w:rPr>
          <w:rFonts w:eastAsia="宋体" w:asciiTheme="minorHAnsi" w:hAnsiTheme="minorHAnsi" w:cstheme="minorBidi"/>
          <w:kern w:val="2"/>
          <w:szCs w:val="24"/>
          <w:lang w:val="en-US" w:eastAsia="zh-CN" w:bidi="ar-SA"/>
        </w:rPr>
        <w:fldChar w:fldCharType="separate"/>
      </w:r>
      <w:r>
        <w:rPr>
          <w:rFonts w:eastAsia="宋体" w:asciiTheme="minorHAnsi" w:hAnsiTheme="minorHAnsi" w:cstheme="minorBidi"/>
          <w:kern w:val="2"/>
          <w:szCs w:val="24"/>
          <w:lang w:val="en-US" w:eastAsia="zh-CN" w:bidi="ar-SA"/>
        </w:rPr>
        <w:t>1</w:t>
      </w:r>
      <w:r>
        <w:rPr>
          <w:rFonts w:eastAsia="宋体" w:asciiTheme="minorHAnsi" w:hAnsiTheme="minorHAnsi" w:cstheme="minorBidi"/>
          <w:kern w:val="2"/>
          <w:szCs w:val="24"/>
          <w:lang w:val="en-US" w:eastAsia="zh-CN" w:bidi="ar-SA"/>
        </w:rPr>
        <w:fldChar w:fldCharType="end"/>
      </w:r>
      <w:r>
        <w:rPr>
          <w:rFonts w:hint="eastAsia" w:ascii="黑体" w:eastAsia="黑体" w:hAnsiTheme="minorHAnsi" w:cstheme="minorBidi"/>
          <w:kern w:val="2"/>
          <w:szCs w:val="32"/>
          <w:lang w:val="en-US" w:eastAsia="zh-CN" w:bidi="ar-SA"/>
        </w:rPr>
        <w:fldChar w:fldCharType="end"/>
      </w:r>
    </w:p>
    <w:p>
      <w:pPr>
        <w:pStyle w:val="7"/>
        <w:tabs>
          <w:tab w:val="right" w:leader="dot" w:pos="8844"/>
        </w:tabs>
        <w:rPr>
          <w:rFonts w:eastAsia="宋体" w:asciiTheme="minorHAnsi" w:hAnsiTheme="minorHAnsi" w:cstheme="minorBidi"/>
          <w:kern w:val="2"/>
          <w:szCs w:val="24"/>
          <w:lang w:val="en-US" w:eastAsia="zh-CN" w:bidi="ar-SA"/>
        </w:rPr>
      </w:pPr>
      <w:r>
        <w:rPr>
          <w:rFonts w:hint="eastAsia" w:ascii="黑体" w:eastAsia="黑体" w:hAnsiTheme="minorHAnsi" w:cstheme="minorBidi"/>
          <w:kern w:val="2"/>
          <w:szCs w:val="32"/>
          <w:lang w:val="en-US" w:eastAsia="zh-CN" w:bidi="ar-SA"/>
        </w:rPr>
        <w:fldChar w:fldCharType="begin"/>
      </w:r>
      <w:r>
        <w:rPr>
          <w:rFonts w:hint="eastAsia" w:ascii="黑体" w:eastAsia="黑体" w:hAnsiTheme="minorHAnsi" w:cstheme="minorBidi"/>
          <w:kern w:val="2"/>
          <w:szCs w:val="32"/>
          <w:lang w:val="en-US" w:eastAsia="zh-CN" w:bidi="ar-SA"/>
        </w:rPr>
        <w:instrText xml:space="preserve"> HYPERLINK \l _Toc19405 </w:instrText>
      </w:r>
      <w:r>
        <w:rPr>
          <w:rFonts w:hint="eastAsia" w:ascii="黑体" w:eastAsia="黑体" w:hAnsiTheme="minorHAnsi" w:cstheme="minorBidi"/>
          <w:kern w:val="2"/>
          <w:szCs w:val="32"/>
          <w:lang w:val="en-US" w:eastAsia="zh-CN" w:bidi="ar-SA"/>
        </w:rPr>
        <w:fldChar w:fldCharType="separate"/>
      </w:r>
      <w:r>
        <w:rPr>
          <w:rFonts w:hint="eastAsia" w:eastAsia="宋体" w:asciiTheme="minorHAnsi" w:hAnsiTheme="minorHAnsi" w:cstheme="minorBidi"/>
          <w:kern w:val="2"/>
          <w:szCs w:val="24"/>
          <w:lang w:val="en-US" w:eastAsia="zh-CN" w:bidi="ar-SA"/>
        </w:rPr>
        <w:t>第一节  发展基础</w:t>
      </w:r>
      <w:r>
        <w:rPr>
          <w:rFonts w:eastAsia="宋体" w:asciiTheme="minorHAnsi" w:hAnsiTheme="minorHAnsi" w:cstheme="minorBidi"/>
          <w:kern w:val="2"/>
          <w:szCs w:val="24"/>
          <w:lang w:val="en-US" w:eastAsia="zh-CN" w:bidi="ar-SA"/>
        </w:rPr>
        <w:tab/>
      </w:r>
      <w:r>
        <w:rPr>
          <w:rFonts w:eastAsia="宋体" w:asciiTheme="minorHAnsi" w:hAnsiTheme="minorHAnsi" w:cstheme="minorBidi"/>
          <w:kern w:val="2"/>
          <w:szCs w:val="24"/>
          <w:lang w:val="en-US" w:eastAsia="zh-CN" w:bidi="ar-SA"/>
        </w:rPr>
        <w:fldChar w:fldCharType="begin"/>
      </w:r>
      <w:r>
        <w:rPr>
          <w:rFonts w:eastAsia="宋体" w:asciiTheme="minorHAnsi" w:hAnsiTheme="minorHAnsi" w:cstheme="minorBidi"/>
          <w:kern w:val="2"/>
          <w:szCs w:val="24"/>
          <w:lang w:val="en-US" w:eastAsia="zh-CN" w:bidi="ar-SA"/>
        </w:rPr>
        <w:instrText xml:space="preserve"> PAGEREF _Toc19405 </w:instrText>
      </w:r>
      <w:r>
        <w:rPr>
          <w:rFonts w:eastAsia="宋体" w:asciiTheme="minorHAnsi" w:hAnsiTheme="minorHAnsi" w:cstheme="minorBidi"/>
          <w:kern w:val="2"/>
          <w:szCs w:val="24"/>
          <w:lang w:val="en-US" w:eastAsia="zh-CN" w:bidi="ar-SA"/>
        </w:rPr>
        <w:fldChar w:fldCharType="separate"/>
      </w:r>
      <w:r>
        <w:rPr>
          <w:rFonts w:eastAsia="宋体" w:asciiTheme="minorHAnsi" w:hAnsiTheme="minorHAnsi" w:cstheme="minorBidi"/>
          <w:kern w:val="2"/>
          <w:szCs w:val="24"/>
          <w:lang w:val="en-US" w:eastAsia="zh-CN" w:bidi="ar-SA"/>
        </w:rPr>
        <w:t>1</w:t>
      </w:r>
      <w:r>
        <w:rPr>
          <w:rFonts w:eastAsia="宋体" w:asciiTheme="minorHAnsi" w:hAnsiTheme="minorHAnsi" w:cstheme="minorBidi"/>
          <w:kern w:val="2"/>
          <w:szCs w:val="24"/>
          <w:lang w:val="en-US" w:eastAsia="zh-CN" w:bidi="ar-SA"/>
        </w:rPr>
        <w:fldChar w:fldCharType="end"/>
      </w:r>
      <w:r>
        <w:rPr>
          <w:rFonts w:hint="eastAsia" w:ascii="黑体" w:eastAsia="黑体" w:hAnsiTheme="minorHAnsi" w:cstheme="minorBidi"/>
          <w:kern w:val="2"/>
          <w:szCs w:val="32"/>
          <w:lang w:val="en-US" w:eastAsia="zh-CN" w:bidi="ar-SA"/>
        </w:rPr>
        <w:fldChar w:fldCharType="end"/>
      </w:r>
    </w:p>
    <w:p>
      <w:pPr>
        <w:pStyle w:val="7"/>
        <w:tabs>
          <w:tab w:val="right" w:leader="dot" w:pos="8844"/>
        </w:tabs>
        <w:rPr>
          <w:rFonts w:eastAsia="宋体" w:asciiTheme="minorHAnsi" w:hAnsiTheme="minorHAnsi" w:cstheme="minorBidi"/>
          <w:kern w:val="2"/>
          <w:szCs w:val="24"/>
          <w:lang w:val="en-US" w:eastAsia="zh-CN" w:bidi="ar-SA"/>
        </w:rPr>
      </w:pPr>
      <w:r>
        <w:rPr>
          <w:rFonts w:hint="eastAsia" w:ascii="黑体" w:eastAsia="黑体" w:hAnsiTheme="minorHAnsi" w:cstheme="minorBidi"/>
          <w:kern w:val="2"/>
          <w:szCs w:val="32"/>
          <w:lang w:val="en-US" w:eastAsia="zh-CN" w:bidi="ar-SA"/>
        </w:rPr>
        <w:fldChar w:fldCharType="begin"/>
      </w:r>
      <w:r>
        <w:rPr>
          <w:rFonts w:hint="eastAsia" w:ascii="黑体" w:eastAsia="黑体" w:hAnsiTheme="minorHAnsi" w:cstheme="minorBidi"/>
          <w:kern w:val="2"/>
          <w:szCs w:val="32"/>
          <w:lang w:val="en-US" w:eastAsia="zh-CN" w:bidi="ar-SA"/>
        </w:rPr>
        <w:instrText xml:space="preserve"> HYPERLINK \l _Toc16185 </w:instrText>
      </w:r>
      <w:r>
        <w:rPr>
          <w:rFonts w:hint="eastAsia" w:ascii="黑体" w:eastAsia="黑体" w:hAnsiTheme="minorHAnsi" w:cstheme="minorBidi"/>
          <w:kern w:val="2"/>
          <w:szCs w:val="32"/>
          <w:lang w:val="en-US" w:eastAsia="zh-CN" w:bidi="ar-SA"/>
        </w:rPr>
        <w:fldChar w:fldCharType="separate"/>
      </w:r>
      <w:r>
        <w:rPr>
          <w:rFonts w:hint="eastAsia" w:eastAsia="宋体" w:asciiTheme="minorHAnsi" w:hAnsiTheme="minorHAnsi" w:cstheme="minorBidi"/>
          <w:kern w:val="2"/>
          <w:szCs w:val="24"/>
          <w:lang w:val="en-US" w:eastAsia="zh-CN" w:bidi="ar-SA"/>
        </w:rPr>
        <w:t>第二节  发展环境</w:t>
      </w:r>
      <w:r>
        <w:rPr>
          <w:rFonts w:eastAsia="宋体" w:asciiTheme="minorHAnsi" w:hAnsiTheme="minorHAnsi" w:cstheme="minorBidi"/>
          <w:kern w:val="2"/>
          <w:szCs w:val="24"/>
          <w:lang w:val="en-US" w:eastAsia="zh-CN" w:bidi="ar-SA"/>
        </w:rPr>
        <w:tab/>
      </w:r>
      <w:r>
        <w:rPr>
          <w:rFonts w:eastAsia="宋体" w:asciiTheme="minorHAnsi" w:hAnsiTheme="minorHAnsi" w:cstheme="minorBidi"/>
          <w:kern w:val="2"/>
          <w:szCs w:val="24"/>
          <w:lang w:val="en-US" w:eastAsia="zh-CN" w:bidi="ar-SA"/>
        </w:rPr>
        <w:fldChar w:fldCharType="begin"/>
      </w:r>
      <w:r>
        <w:rPr>
          <w:rFonts w:eastAsia="宋体" w:asciiTheme="minorHAnsi" w:hAnsiTheme="minorHAnsi" w:cstheme="minorBidi"/>
          <w:kern w:val="2"/>
          <w:szCs w:val="24"/>
          <w:lang w:val="en-US" w:eastAsia="zh-CN" w:bidi="ar-SA"/>
        </w:rPr>
        <w:instrText xml:space="preserve"> PAGEREF _Toc16185 </w:instrText>
      </w:r>
      <w:r>
        <w:rPr>
          <w:rFonts w:eastAsia="宋体" w:asciiTheme="minorHAnsi" w:hAnsiTheme="minorHAnsi" w:cstheme="minorBidi"/>
          <w:kern w:val="2"/>
          <w:szCs w:val="24"/>
          <w:lang w:val="en-US" w:eastAsia="zh-CN" w:bidi="ar-SA"/>
        </w:rPr>
        <w:fldChar w:fldCharType="separate"/>
      </w:r>
      <w:r>
        <w:rPr>
          <w:rFonts w:eastAsia="宋体" w:asciiTheme="minorHAnsi" w:hAnsiTheme="minorHAnsi" w:cstheme="minorBidi"/>
          <w:kern w:val="2"/>
          <w:szCs w:val="24"/>
          <w:lang w:val="en-US" w:eastAsia="zh-CN" w:bidi="ar-SA"/>
        </w:rPr>
        <w:t>6</w:t>
      </w:r>
      <w:r>
        <w:rPr>
          <w:rFonts w:eastAsia="宋体" w:asciiTheme="minorHAnsi" w:hAnsiTheme="minorHAnsi" w:cstheme="minorBidi"/>
          <w:kern w:val="2"/>
          <w:szCs w:val="24"/>
          <w:lang w:val="en-US" w:eastAsia="zh-CN" w:bidi="ar-SA"/>
        </w:rPr>
        <w:fldChar w:fldCharType="end"/>
      </w:r>
      <w:r>
        <w:rPr>
          <w:rFonts w:hint="eastAsia" w:ascii="黑体" w:eastAsia="黑体" w:hAnsiTheme="minorHAnsi" w:cstheme="minorBidi"/>
          <w:kern w:val="2"/>
          <w:szCs w:val="32"/>
          <w:lang w:val="en-US" w:eastAsia="zh-CN" w:bidi="ar-SA"/>
        </w:rPr>
        <w:fldChar w:fldCharType="end"/>
      </w:r>
    </w:p>
    <w:p>
      <w:pPr>
        <w:pStyle w:val="6"/>
        <w:tabs>
          <w:tab w:val="right" w:leader="dot" w:pos="8844"/>
        </w:tabs>
        <w:rPr>
          <w:rFonts w:eastAsia="宋体" w:asciiTheme="minorHAnsi" w:hAnsiTheme="minorHAnsi" w:cstheme="minorBidi"/>
          <w:kern w:val="2"/>
          <w:szCs w:val="24"/>
          <w:lang w:val="en-US" w:eastAsia="zh-CN" w:bidi="ar-SA"/>
        </w:rPr>
      </w:pPr>
      <w:r>
        <w:rPr>
          <w:rFonts w:hint="eastAsia" w:ascii="黑体" w:eastAsia="黑体" w:hAnsiTheme="minorHAnsi" w:cstheme="minorBidi"/>
          <w:kern w:val="2"/>
          <w:szCs w:val="32"/>
          <w:lang w:val="en-US" w:eastAsia="zh-CN" w:bidi="ar-SA"/>
        </w:rPr>
        <w:fldChar w:fldCharType="begin"/>
      </w:r>
      <w:r>
        <w:rPr>
          <w:rFonts w:hint="eastAsia" w:ascii="黑体" w:eastAsia="黑体" w:hAnsiTheme="minorHAnsi" w:cstheme="minorBidi"/>
          <w:kern w:val="2"/>
          <w:szCs w:val="32"/>
          <w:lang w:val="en-US" w:eastAsia="zh-CN" w:bidi="ar-SA"/>
        </w:rPr>
        <w:instrText xml:space="preserve"> HYPERLINK \l _Toc896 </w:instrText>
      </w:r>
      <w:r>
        <w:rPr>
          <w:rFonts w:hint="eastAsia" w:ascii="黑体" w:eastAsia="黑体" w:hAnsiTheme="minorHAnsi" w:cstheme="minorBidi"/>
          <w:kern w:val="2"/>
          <w:szCs w:val="32"/>
          <w:lang w:val="en-US" w:eastAsia="zh-CN" w:bidi="ar-SA"/>
        </w:rPr>
        <w:fldChar w:fldCharType="separate"/>
      </w:r>
      <w:r>
        <w:rPr>
          <w:rFonts w:hint="eastAsia" w:eastAsia="宋体" w:asciiTheme="minorHAnsi" w:hAnsiTheme="minorHAnsi" w:cstheme="minorBidi"/>
          <w:kern w:val="2"/>
          <w:szCs w:val="24"/>
          <w:lang w:val="en-US" w:eastAsia="zh-CN" w:bidi="ar-SA"/>
        </w:rPr>
        <w:t>第二章  总体思路与发展目标</w:t>
      </w:r>
      <w:r>
        <w:rPr>
          <w:rFonts w:eastAsia="宋体" w:asciiTheme="minorHAnsi" w:hAnsiTheme="minorHAnsi" w:cstheme="minorBidi"/>
          <w:kern w:val="2"/>
          <w:szCs w:val="24"/>
          <w:lang w:val="en-US" w:eastAsia="zh-CN" w:bidi="ar-SA"/>
        </w:rPr>
        <w:tab/>
      </w:r>
      <w:r>
        <w:rPr>
          <w:rFonts w:eastAsia="宋体" w:asciiTheme="minorHAnsi" w:hAnsiTheme="minorHAnsi" w:cstheme="minorBidi"/>
          <w:kern w:val="2"/>
          <w:szCs w:val="24"/>
          <w:lang w:val="en-US" w:eastAsia="zh-CN" w:bidi="ar-SA"/>
        </w:rPr>
        <w:fldChar w:fldCharType="begin"/>
      </w:r>
      <w:r>
        <w:rPr>
          <w:rFonts w:eastAsia="宋体" w:asciiTheme="minorHAnsi" w:hAnsiTheme="minorHAnsi" w:cstheme="minorBidi"/>
          <w:kern w:val="2"/>
          <w:szCs w:val="24"/>
          <w:lang w:val="en-US" w:eastAsia="zh-CN" w:bidi="ar-SA"/>
        </w:rPr>
        <w:instrText xml:space="preserve"> PAGEREF _Toc896 </w:instrText>
      </w:r>
      <w:r>
        <w:rPr>
          <w:rFonts w:eastAsia="宋体" w:asciiTheme="minorHAnsi" w:hAnsiTheme="minorHAnsi" w:cstheme="minorBidi"/>
          <w:kern w:val="2"/>
          <w:szCs w:val="24"/>
          <w:lang w:val="en-US" w:eastAsia="zh-CN" w:bidi="ar-SA"/>
        </w:rPr>
        <w:fldChar w:fldCharType="separate"/>
      </w:r>
      <w:r>
        <w:rPr>
          <w:rFonts w:eastAsia="宋体" w:asciiTheme="minorHAnsi" w:hAnsiTheme="minorHAnsi" w:cstheme="minorBidi"/>
          <w:kern w:val="2"/>
          <w:szCs w:val="24"/>
          <w:lang w:val="en-US" w:eastAsia="zh-CN" w:bidi="ar-SA"/>
        </w:rPr>
        <w:t>7</w:t>
      </w:r>
      <w:r>
        <w:rPr>
          <w:rFonts w:eastAsia="宋体" w:asciiTheme="minorHAnsi" w:hAnsiTheme="minorHAnsi" w:cstheme="minorBidi"/>
          <w:kern w:val="2"/>
          <w:szCs w:val="24"/>
          <w:lang w:val="en-US" w:eastAsia="zh-CN" w:bidi="ar-SA"/>
        </w:rPr>
        <w:fldChar w:fldCharType="end"/>
      </w:r>
      <w:r>
        <w:rPr>
          <w:rFonts w:hint="eastAsia" w:ascii="黑体" w:eastAsia="黑体" w:hAnsiTheme="minorHAnsi" w:cstheme="minorBidi"/>
          <w:kern w:val="2"/>
          <w:szCs w:val="32"/>
          <w:lang w:val="en-US" w:eastAsia="zh-CN" w:bidi="ar-SA"/>
        </w:rPr>
        <w:fldChar w:fldCharType="end"/>
      </w:r>
    </w:p>
    <w:p>
      <w:pPr>
        <w:pStyle w:val="7"/>
        <w:tabs>
          <w:tab w:val="right" w:leader="dot" w:pos="8844"/>
        </w:tabs>
        <w:rPr>
          <w:rFonts w:eastAsia="宋体" w:asciiTheme="minorHAnsi" w:hAnsiTheme="minorHAnsi" w:cstheme="minorBidi"/>
          <w:kern w:val="2"/>
          <w:szCs w:val="24"/>
          <w:lang w:val="en-US" w:eastAsia="zh-CN" w:bidi="ar-SA"/>
        </w:rPr>
      </w:pPr>
      <w:r>
        <w:rPr>
          <w:rFonts w:hint="eastAsia" w:ascii="黑体" w:eastAsia="黑体" w:hAnsiTheme="minorHAnsi" w:cstheme="minorBidi"/>
          <w:kern w:val="2"/>
          <w:szCs w:val="32"/>
          <w:lang w:val="en-US" w:eastAsia="zh-CN" w:bidi="ar-SA"/>
        </w:rPr>
        <w:fldChar w:fldCharType="begin"/>
      </w:r>
      <w:r>
        <w:rPr>
          <w:rFonts w:hint="eastAsia" w:ascii="黑体" w:eastAsia="黑体" w:hAnsiTheme="minorHAnsi" w:cstheme="minorBidi"/>
          <w:kern w:val="2"/>
          <w:szCs w:val="32"/>
          <w:lang w:val="en-US" w:eastAsia="zh-CN" w:bidi="ar-SA"/>
        </w:rPr>
        <w:instrText xml:space="preserve"> HYPERLINK \l _Toc7481 </w:instrText>
      </w:r>
      <w:r>
        <w:rPr>
          <w:rFonts w:hint="eastAsia" w:ascii="黑体" w:eastAsia="黑体" w:hAnsiTheme="minorHAnsi" w:cstheme="minorBidi"/>
          <w:kern w:val="2"/>
          <w:szCs w:val="32"/>
          <w:lang w:val="en-US" w:eastAsia="zh-CN" w:bidi="ar-SA"/>
        </w:rPr>
        <w:fldChar w:fldCharType="separate"/>
      </w:r>
      <w:r>
        <w:rPr>
          <w:rFonts w:hint="eastAsia" w:eastAsia="宋体" w:asciiTheme="minorHAnsi" w:hAnsiTheme="minorHAnsi" w:cstheme="minorBidi"/>
          <w:kern w:val="2"/>
          <w:szCs w:val="24"/>
          <w:lang w:val="en-US" w:eastAsia="zh-CN" w:bidi="ar-SA"/>
        </w:rPr>
        <w:t>第一节  指导思想</w:t>
      </w:r>
      <w:r>
        <w:rPr>
          <w:rFonts w:eastAsia="宋体" w:asciiTheme="minorHAnsi" w:hAnsiTheme="minorHAnsi" w:cstheme="minorBidi"/>
          <w:kern w:val="2"/>
          <w:szCs w:val="24"/>
          <w:lang w:val="en-US" w:eastAsia="zh-CN" w:bidi="ar-SA"/>
        </w:rPr>
        <w:tab/>
      </w:r>
      <w:r>
        <w:rPr>
          <w:rFonts w:eastAsia="宋体" w:asciiTheme="minorHAnsi" w:hAnsiTheme="minorHAnsi" w:cstheme="minorBidi"/>
          <w:kern w:val="2"/>
          <w:szCs w:val="24"/>
          <w:lang w:val="en-US" w:eastAsia="zh-CN" w:bidi="ar-SA"/>
        </w:rPr>
        <w:fldChar w:fldCharType="begin"/>
      </w:r>
      <w:r>
        <w:rPr>
          <w:rFonts w:eastAsia="宋体" w:asciiTheme="minorHAnsi" w:hAnsiTheme="minorHAnsi" w:cstheme="minorBidi"/>
          <w:kern w:val="2"/>
          <w:szCs w:val="24"/>
          <w:lang w:val="en-US" w:eastAsia="zh-CN" w:bidi="ar-SA"/>
        </w:rPr>
        <w:instrText xml:space="preserve"> PAGEREF _Toc7481 </w:instrText>
      </w:r>
      <w:r>
        <w:rPr>
          <w:rFonts w:eastAsia="宋体" w:asciiTheme="minorHAnsi" w:hAnsiTheme="minorHAnsi" w:cstheme="minorBidi"/>
          <w:kern w:val="2"/>
          <w:szCs w:val="24"/>
          <w:lang w:val="en-US" w:eastAsia="zh-CN" w:bidi="ar-SA"/>
        </w:rPr>
        <w:fldChar w:fldCharType="separate"/>
      </w:r>
      <w:r>
        <w:rPr>
          <w:rFonts w:eastAsia="宋体" w:asciiTheme="minorHAnsi" w:hAnsiTheme="minorHAnsi" w:cstheme="minorBidi"/>
          <w:kern w:val="2"/>
          <w:szCs w:val="24"/>
          <w:lang w:val="en-US" w:eastAsia="zh-CN" w:bidi="ar-SA"/>
        </w:rPr>
        <w:t>7</w:t>
      </w:r>
      <w:r>
        <w:rPr>
          <w:rFonts w:eastAsia="宋体" w:asciiTheme="minorHAnsi" w:hAnsiTheme="minorHAnsi" w:cstheme="minorBidi"/>
          <w:kern w:val="2"/>
          <w:szCs w:val="24"/>
          <w:lang w:val="en-US" w:eastAsia="zh-CN" w:bidi="ar-SA"/>
        </w:rPr>
        <w:fldChar w:fldCharType="end"/>
      </w:r>
      <w:r>
        <w:rPr>
          <w:rFonts w:hint="eastAsia" w:ascii="黑体" w:eastAsia="黑体" w:hAnsiTheme="minorHAnsi" w:cstheme="minorBidi"/>
          <w:kern w:val="2"/>
          <w:szCs w:val="32"/>
          <w:lang w:val="en-US" w:eastAsia="zh-CN" w:bidi="ar-SA"/>
        </w:rPr>
        <w:fldChar w:fldCharType="end"/>
      </w:r>
    </w:p>
    <w:p>
      <w:pPr>
        <w:pStyle w:val="7"/>
        <w:tabs>
          <w:tab w:val="right" w:leader="dot" w:pos="8844"/>
        </w:tabs>
        <w:rPr>
          <w:rFonts w:eastAsia="宋体" w:asciiTheme="minorHAnsi" w:hAnsiTheme="minorHAnsi" w:cstheme="minorBidi"/>
          <w:kern w:val="2"/>
          <w:szCs w:val="24"/>
          <w:lang w:val="en-US" w:eastAsia="zh-CN" w:bidi="ar-SA"/>
        </w:rPr>
      </w:pPr>
      <w:r>
        <w:rPr>
          <w:rFonts w:hint="eastAsia" w:ascii="黑体" w:eastAsia="黑体" w:hAnsiTheme="minorHAnsi" w:cstheme="minorBidi"/>
          <w:kern w:val="2"/>
          <w:szCs w:val="32"/>
          <w:lang w:val="en-US" w:eastAsia="zh-CN" w:bidi="ar-SA"/>
        </w:rPr>
        <w:fldChar w:fldCharType="begin"/>
      </w:r>
      <w:r>
        <w:rPr>
          <w:rFonts w:hint="eastAsia" w:ascii="黑体" w:eastAsia="黑体" w:hAnsiTheme="minorHAnsi" w:cstheme="minorBidi"/>
          <w:kern w:val="2"/>
          <w:szCs w:val="32"/>
          <w:lang w:val="en-US" w:eastAsia="zh-CN" w:bidi="ar-SA"/>
        </w:rPr>
        <w:instrText xml:space="preserve"> HYPERLINK \l _Toc5585 </w:instrText>
      </w:r>
      <w:r>
        <w:rPr>
          <w:rFonts w:hint="eastAsia" w:ascii="黑体" w:eastAsia="黑体" w:hAnsiTheme="minorHAnsi" w:cstheme="minorBidi"/>
          <w:kern w:val="2"/>
          <w:szCs w:val="32"/>
          <w:lang w:val="en-US" w:eastAsia="zh-CN" w:bidi="ar-SA"/>
        </w:rPr>
        <w:fldChar w:fldCharType="separate"/>
      </w:r>
      <w:r>
        <w:rPr>
          <w:rFonts w:hint="eastAsia" w:eastAsia="宋体" w:asciiTheme="minorHAnsi" w:hAnsiTheme="minorHAnsi" w:cstheme="minorBidi"/>
          <w:kern w:val="2"/>
          <w:szCs w:val="24"/>
          <w:lang w:val="en-US" w:eastAsia="zh-CN" w:bidi="ar-SA"/>
        </w:rPr>
        <w:t>第二节  基本原则</w:t>
      </w:r>
      <w:r>
        <w:rPr>
          <w:rFonts w:eastAsia="宋体" w:asciiTheme="minorHAnsi" w:hAnsiTheme="minorHAnsi" w:cstheme="minorBidi"/>
          <w:kern w:val="2"/>
          <w:szCs w:val="24"/>
          <w:lang w:val="en-US" w:eastAsia="zh-CN" w:bidi="ar-SA"/>
        </w:rPr>
        <w:tab/>
      </w:r>
      <w:r>
        <w:rPr>
          <w:rFonts w:eastAsia="宋体" w:asciiTheme="minorHAnsi" w:hAnsiTheme="minorHAnsi" w:cstheme="minorBidi"/>
          <w:kern w:val="2"/>
          <w:szCs w:val="24"/>
          <w:lang w:val="en-US" w:eastAsia="zh-CN" w:bidi="ar-SA"/>
        </w:rPr>
        <w:fldChar w:fldCharType="begin"/>
      </w:r>
      <w:r>
        <w:rPr>
          <w:rFonts w:eastAsia="宋体" w:asciiTheme="minorHAnsi" w:hAnsiTheme="minorHAnsi" w:cstheme="minorBidi"/>
          <w:kern w:val="2"/>
          <w:szCs w:val="24"/>
          <w:lang w:val="en-US" w:eastAsia="zh-CN" w:bidi="ar-SA"/>
        </w:rPr>
        <w:instrText xml:space="preserve"> PAGEREF _Toc5585 </w:instrText>
      </w:r>
      <w:r>
        <w:rPr>
          <w:rFonts w:eastAsia="宋体" w:asciiTheme="minorHAnsi" w:hAnsiTheme="minorHAnsi" w:cstheme="minorBidi"/>
          <w:kern w:val="2"/>
          <w:szCs w:val="24"/>
          <w:lang w:val="en-US" w:eastAsia="zh-CN" w:bidi="ar-SA"/>
        </w:rPr>
        <w:fldChar w:fldCharType="separate"/>
      </w:r>
      <w:r>
        <w:rPr>
          <w:rFonts w:eastAsia="宋体" w:asciiTheme="minorHAnsi" w:hAnsiTheme="minorHAnsi" w:cstheme="minorBidi"/>
          <w:kern w:val="2"/>
          <w:szCs w:val="24"/>
          <w:lang w:val="en-US" w:eastAsia="zh-CN" w:bidi="ar-SA"/>
        </w:rPr>
        <w:t>8</w:t>
      </w:r>
      <w:r>
        <w:rPr>
          <w:rFonts w:eastAsia="宋体" w:asciiTheme="minorHAnsi" w:hAnsiTheme="minorHAnsi" w:cstheme="minorBidi"/>
          <w:kern w:val="2"/>
          <w:szCs w:val="24"/>
          <w:lang w:val="en-US" w:eastAsia="zh-CN" w:bidi="ar-SA"/>
        </w:rPr>
        <w:fldChar w:fldCharType="end"/>
      </w:r>
      <w:r>
        <w:rPr>
          <w:rFonts w:hint="eastAsia" w:ascii="黑体" w:eastAsia="黑体" w:hAnsiTheme="minorHAnsi" w:cstheme="minorBidi"/>
          <w:kern w:val="2"/>
          <w:szCs w:val="32"/>
          <w:lang w:val="en-US" w:eastAsia="zh-CN" w:bidi="ar-SA"/>
        </w:rPr>
        <w:fldChar w:fldCharType="end"/>
      </w:r>
    </w:p>
    <w:p>
      <w:pPr>
        <w:pStyle w:val="7"/>
        <w:tabs>
          <w:tab w:val="right" w:leader="dot" w:pos="8844"/>
        </w:tabs>
        <w:rPr>
          <w:rFonts w:eastAsia="宋体" w:asciiTheme="minorHAnsi" w:hAnsiTheme="minorHAnsi" w:cstheme="minorBidi"/>
          <w:kern w:val="2"/>
          <w:szCs w:val="24"/>
          <w:lang w:val="en-US" w:eastAsia="zh-CN" w:bidi="ar-SA"/>
        </w:rPr>
      </w:pPr>
      <w:r>
        <w:rPr>
          <w:rFonts w:hint="eastAsia" w:ascii="黑体" w:eastAsia="黑体" w:hAnsiTheme="minorHAnsi" w:cstheme="minorBidi"/>
          <w:kern w:val="2"/>
          <w:szCs w:val="32"/>
          <w:lang w:val="en-US" w:eastAsia="zh-CN" w:bidi="ar-SA"/>
        </w:rPr>
        <w:fldChar w:fldCharType="begin"/>
      </w:r>
      <w:r>
        <w:rPr>
          <w:rFonts w:hint="eastAsia" w:ascii="黑体" w:eastAsia="黑体" w:hAnsiTheme="minorHAnsi" w:cstheme="minorBidi"/>
          <w:kern w:val="2"/>
          <w:szCs w:val="32"/>
          <w:lang w:val="en-US" w:eastAsia="zh-CN" w:bidi="ar-SA"/>
        </w:rPr>
        <w:instrText xml:space="preserve"> HYPERLINK \l _Toc11892 </w:instrText>
      </w:r>
      <w:r>
        <w:rPr>
          <w:rFonts w:hint="eastAsia" w:ascii="黑体" w:eastAsia="黑体" w:hAnsiTheme="minorHAnsi" w:cstheme="minorBidi"/>
          <w:kern w:val="2"/>
          <w:szCs w:val="32"/>
          <w:lang w:val="en-US" w:eastAsia="zh-CN" w:bidi="ar-SA"/>
        </w:rPr>
        <w:fldChar w:fldCharType="separate"/>
      </w:r>
      <w:r>
        <w:rPr>
          <w:rFonts w:hint="eastAsia" w:eastAsia="宋体" w:asciiTheme="minorHAnsi" w:hAnsiTheme="minorHAnsi" w:cstheme="minorBidi"/>
          <w:kern w:val="2"/>
          <w:szCs w:val="24"/>
          <w:lang w:val="en-US" w:eastAsia="zh-CN" w:bidi="ar-SA"/>
        </w:rPr>
        <w:t>第三节  发展目标</w:t>
      </w:r>
      <w:r>
        <w:rPr>
          <w:rFonts w:eastAsia="宋体" w:asciiTheme="minorHAnsi" w:hAnsiTheme="minorHAnsi" w:cstheme="minorBidi"/>
          <w:kern w:val="2"/>
          <w:szCs w:val="24"/>
          <w:lang w:val="en-US" w:eastAsia="zh-CN" w:bidi="ar-SA"/>
        </w:rPr>
        <w:tab/>
      </w:r>
      <w:r>
        <w:rPr>
          <w:rFonts w:eastAsia="宋体" w:asciiTheme="minorHAnsi" w:hAnsiTheme="minorHAnsi" w:cstheme="minorBidi"/>
          <w:kern w:val="2"/>
          <w:szCs w:val="24"/>
          <w:lang w:val="en-US" w:eastAsia="zh-CN" w:bidi="ar-SA"/>
        </w:rPr>
        <w:fldChar w:fldCharType="begin"/>
      </w:r>
      <w:r>
        <w:rPr>
          <w:rFonts w:eastAsia="宋体" w:asciiTheme="minorHAnsi" w:hAnsiTheme="minorHAnsi" w:cstheme="minorBidi"/>
          <w:kern w:val="2"/>
          <w:szCs w:val="24"/>
          <w:lang w:val="en-US" w:eastAsia="zh-CN" w:bidi="ar-SA"/>
        </w:rPr>
        <w:instrText xml:space="preserve"> PAGEREF _Toc11892 </w:instrText>
      </w:r>
      <w:r>
        <w:rPr>
          <w:rFonts w:eastAsia="宋体" w:asciiTheme="minorHAnsi" w:hAnsiTheme="minorHAnsi" w:cstheme="minorBidi"/>
          <w:kern w:val="2"/>
          <w:szCs w:val="24"/>
          <w:lang w:val="en-US" w:eastAsia="zh-CN" w:bidi="ar-SA"/>
        </w:rPr>
        <w:fldChar w:fldCharType="separate"/>
      </w:r>
      <w:r>
        <w:rPr>
          <w:rFonts w:eastAsia="宋体" w:asciiTheme="minorHAnsi" w:hAnsiTheme="minorHAnsi" w:cstheme="minorBidi"/>
          <w:kern w:val="2"/>
          <w:szCs w:val="24"/>
          <w:lang w:val="en-US" w:eastAsia="zh-CN" w:bidi="ar-SA"/>
        </w:rPr>
        <w:t>9</w:t>
      </w:r>
      <w:r>
        <w:rPr>
          <w:rFonts w:eastAsia="宋体" w:asciiTheme="minorHAnsi" w:hAnsiTheme="minorHAnsi" w:cstheme="minorBidi"/>
          <w:kern w:val="2"/>
          <w:szCs w:val="24"/>
          <w:lang w:val="en-US" w:eastAsia="zh-CN" w:bidi="ar-SA"/>
        </w:rPr>
        <w:fldChar w:fldCharType="end"/>
      </w:r>
      <w:r>
        <w:rPr>
          <w:rFonts w:hint="eastAsia" w:ascii="黑体" w:eastAsia="黑体" w:hAnsiTheme="minorHAnsi" w:cstheme="minorBidi"/>
          <w:kern w:val="2"/>
          <w:szCs w:val="32"/>
          <w:lang w:val="en-US" w:eastAsia="zh-CN" w:bidi="ar-SA"/>
        </w:rPr>
        <w:fldChar w:fldCharType="end"/>
      </w:r>
    </w:p>
    <w:p>
      <w:pPr>
        <w:pStyle w:val="6"/>
        <w:tabs>
          <w:tab w:val="right" w:leader="dot" w:pos="8844"/>
        </w:tabs>
        <w:rPr>
          <w:rFonts w:eastAsia="宋体" w:asciiTheme="minorHAnsi" w:hAnsiTheme="minorHAnsi" w:cstheme="minorBidi"/>
          <w:kern w:val="2"/>
          <w:szCs w:val="24"/>
          <w:lang w:val="en-US" w:eastAsia="zh-CN" w:bidi="ar-SA"/>
        </w:rPr>
      </w:pPr>
      <w:r>
        <w:rPr>
          <w:rFonts w:hint="eastAsia" w:ascii="黑体" w:eastAsia="黑体" w:hAnsiTheme="minorHAnsi" w:cstheme="minorBidi"/>
          <w:kern w:val="2"/>
          <w:szCs w:val="32"/>
          <w:lang w:val="en-US" w:eastAsia="zh-CN" w:bidi="ar-SA"/>
        </w:rPr>
        <w:fldChar w:fldCharType="begin"/>
      </w:r>
      <w:r>
        <w:rPr>
          <w:rFonts w:hint="eastAsia" w:ascii="黑体" w:eastAsia="黑体" w:hAnsiTheme="minorHAnsi" w:cstheme="minorBidi"/>
          <w:kern w:val="2"/>
          <w:szCs w:val="32"/>
          <w:lang w:val="en-US" w:eastAsia="zh-CN" w:bidi="ar-SA"/>
        </w:rPr>
        <w:instrText xml:space="preserve"> HYPERLINK \l _Toc8757 </w:instrText>
      </w:r>
      <w:r>
        <w:rPr>
          <w:rFonts w:hint="eastAsia" w:ascii="黑体" w:eastAsia="黑体" w:hAnsiTheme="minorHAnsi" w:cstheme="minorBidi"/>
          <w:kern w:val="2"/>
          <w:szCs w:val="32"/>
          <w:lang w:val="en-US" w:eastAsia="zh-CN" w:bidi="ar-SA"/>
        </w:rPr>
        <w:fldChar w:fldCharType="separate"/>
      </w:r>
      <w:r>
        <w:rPr>
          <w:rFonts w:hint="eastAsia" w:eastAsia="宋体" w:asciiTheme="minorHAnsi" w:hAnsiTheme="minorHAnsi" w:cstheme="minorBidi"/>
          <w:kern w:val="2"/>
          <w:szCs w:val="24"/>
          <w:lang w:val="en-US" w:eastAsia="zh-CN" w:bidi="ar-SA"/>
        </w:rPr>
        <w:t>第三章　全面深化改革创新　培育经济社会发展新动力</w:t>
      </w:r>
      <w:r>
        <w:rPr>
          <w:rFonts w:eastAsia="宋体" w:asciiTheme="minorHAnsi" w:hAnsiTheme="minorHAnsi" w:cstheme="minorBidi"/>
          <w:kern w:val="2"/>
          <w:szCs w:val="24"/>
          <w:lang w:val="en-US" w:eastAsia="zh-CN" w:bidi="ar-SA"/>
        </w:rPr>
        <w:tab/>
      </w:r>
      <w:r>
        <w:rPr>
          <w:rFonts w:eastAsia="宋体" w:asciiTheme="minorHAnsi" w:hAnsiTheme="minorHAnsi" w:cstheme="minorBidi"/>
          <w:kern w:val="2"/>
          <w:szCs w:val="24"/>
          <w:lang w:val="en-US" w:eastAsia="zh-CN" w:bidi="ar-SA"/>
        </w:rPr>
        <w:fldChar w:fldCharType="begin"/>
      </w:r>
      <w:r>
        <w:rPr>
          <w:rFonts w:eastAsia="宋体" w:asciiTheme="minorHAnsi" w:hAnsiTheme="minorHAnsi" w:cstheme="minorBidi"/>
          <w:kern w:val="2"/>
          <w:szCs w:val="24"/>
          <w:lang w:val="en-US" w:eastAsia="zh-CN" w:bidi="ar-SA"/>
        </w:rPr>
        <w:instrText xml:space="preserve"> PAGEREF _Toc8757 </w:instrText>
      </w:r>
      <w:r>
        <w:rPr>
          <w:rFonts w:eastAsia="宋体" w:asciiTheme="minorHAnsi" w:hAnsiTheme="minorHAnsi" w:cstheme="minorBidi"/>
          <w:kern w:val="2"/>
          <w:szCs w:val="24"/>
          <w:lang w:val="en-US" w:eastAsia="zh-CN" w:bidi="ar-SA"/>
        </w:rPr>
        <w:fldChar w:fldCharType="separate"/>
      </w:r>
      <w:r>
        <w:rPr>
          <w:rFonts w:eastAsia="宋体" w:asciiTheme="minorHAnsi" w:hAnsiTheme="minorHAnsi" w:cstheme="minorBidi"/>
          <w:kern w:val="2"/>
          <w:szCs w:val="24"/>
          <w:lang w:val="en-US" w:eastAsia="zh-CN" w:bidi="ar-SA"/>
        </w:rPr>
        <w:t>11</w:t>
      </w:r>
      <w:r>
        <w:rPr>
          <w:rFonts w:eastAsia="宋体" w:asciiTheme="minorHAnsi" w:hAnsiTheme="minorHAnsi" w:cstheme="minorBidi"/>
          <w:kern w:val="2"/>
          <w:szCs w:val="24"/>
          <w:lang w:val="en-US" w:eastAsia="zh-CN" w:bidi="ar-SA"/>
        </w:rPr>
        <w:fldChar w:fldCharType="end"/>
      </w:r>
      <w:r>
        <w:rPr>
          <w:rFonts w:hint="eastAsia" w:ascii="黑体" w:eastAsia="黑体" w:hAnsiTheme="minorHAnsi" w:cstheme="minorBidi"/>
          <w:kern w:val="2"/>
          <w:szCs w:val="32"/>
          <w:lang w:val="en-US" w:eastAsia="zh-CN" w:bidi="ar-SA"/>
        </w:rPr>
        <w:fldChar w:fldCharType="end"/>
      </w:r>
    </w:p>
    <w:p>
      <w:pPr>
        <w:pStyle w:val="7"/>
        <w:tabs>
          <w:tab w:val="right" w:leader="dot" w:pos="8844"/>
        </w:tabs>
        <w:rPr>
          <w:rFonts w:eastAsia="宋体" w:asciiTheme="minorHAnsi" w:hAnsiTheme="minorHAnsi" w:cstheme="minorBidi"/>
          <w:kern w:val="2"/>
          <w:szCs w:val="24"/>
          <w:lang w:val="en-US" w:eastAsia="zh-CN" w:bidi="ar-SA"/>
        </w:rPr>
      </w:pPr>
      <w:r>
        <w:rPr>
          <w:rFonts w:hint="eastAsia" w:ascii="黑体" w:eastAsia="黑体" w:hAnsiTheme="minorHAnsi" w:cstheme="minorBidi"/>
          <w:kern w:val="2"/>
          <w:szCs w:val="32"/>
          <w:lang w:val="en-US" w:eastAsia="zh-CN" w:bidi="ar-SA"/>
        </w:rPr>
        <w:fldChar w:fldCharType="begin"/>
      </w:r>
      <w:r>
        <w:rPr>
          <w:rFonts w:hint="eastAsia" w:ascii="黑体" w:eastAsia="黑体" w:hAnsiTheme="minorHAnsi" w:cstheme="minorBidi"/>
          <w:kern w:val="2"/>
          <w:szCs w:val="32"/>
          <w:lang w:val="en-US" w:eastAsia="zh-CN" w:bidi="ar-SA"/>
        </w:rPr>
        <w:instrText xml:space="preserve"> HYPERLINK \l _Toc32548 </w:instrText>
      </w:r>
      <w:r>
        <w:rPr>
          <w:rFonts w:hint="eastAsia" w:ascii="黑体" w:eastAsia="黑体" w:hAnsiTheme="minorHAnsi" w:cstheme="minorBidi"/>
          <w:kern w:val="2"/>
          <w:szCs w:val="32"/>
          <w:lang w:val="en-US" w:eastAsia="zh-CN" w:bidi="ar-SA"/>
        </w:rPr>
        <w:fldChar w:fldCharType="separate"/>
      </w:r>
      <w:r>
        <w:rPr>
          <w:rFonts w:hint="eastAsia" w:eastAsia="宋体" w:asciiTheme="minorHAnsi" w:hAnsiTheme="minorHAnsi" w:cstheme="minorBidi"/>
          <w:kern w:val="2"/>
          <w:szCs w:val="24"/>
          <w:lang w:val="en-US" w:eastAsia="zh-CN" w:bidi="ar-SA"/>
        </w:rPr>
        <w:t>第一节　深化国企改革</w:t>
      </w:r>
      <w:r>
        <w:rPr>
          <w:rFonts w:eastAsia="宋体" w:asciiTheme="minorHAnsi" w:hAnsiTheme="minorHAnsi" w:cstheme="minorBidi"/>
          <w:kern w:val="2"/>
          <w:szCs w:val="24"/>
          <w:lang w:val="en-US" w:eastAsia="zh-CN" w:bidi="ar-SA"/>
        </w:rPr>
        <w:tab/>
      </w:r>
      <w:r>
        <w:rPr>
          <w:rFonts w:eastAsia="宋体" w:asciiTheme="minorHAnsi" w:hAnsiTheme="minorHAnsi" w:cstheme="minorBidi"/>
          <w:kern w:val="2"/>
          <w:szCs w:val="24"/>
          <w:lang w:val="en-US" w:eastAsia="zh-CN" w:bidi="ar-SA"/>
        </w:rPr>
        <w:fldChar w:fldCharType="begin"/>
      </w:r>
      <w:r>
        <w:rPr>
          <w:rFonts w:eastAsia="宋体" w:asciiTheme="minorHAnsi" w:hAnsiTheme="minorHAnsi" w:cstheme="minorBidi"/>
          <w:kern w:val="2"/>
          <w:szCs w:val="24"/>
          <w:lang w:val="en-US" w:eastAsia="zh-CN" w:bidi="ar-SA"/>
        </w:rPr>
        <w:instrText xml:space="preserve"> PAGEREF _Toc32548 </w:instrText>
      </w:r>
      <w:r>
        <w:rPr>
          <w:rFonts w:eastAsia="宋体" w:asciiTheme="minorHAnsi" w:hAnsiTheme="minorHAnsi" w:cstheme="minorBidi"/>
          <w:kern w:val="2"/>
          <w:szCs w:val="24"/>
          <w:lang w:val="en-US" w:eastAsia="zh-CN" w:bidi="ar-SA"/>
        </w:rPr>
        <w:fldChar w:fldCharType="separate"/>
      </w:r>
      <w:r>
        <w:rPr>
          <w:rFonts w:eastAsia="宋体" w:asciiTheme="minorHAnsi" w:hAnsiTheme="minorHAnsi" w:cstheme="minorBidi"/>
          <w:kern w:val="2"/>
          <w:szCs w:val="24"/>
          <w:lang w:val="en-US" w:eastAsia="zh-CN" w:bidi="ar-SA"/>
        </w:rPr>
        <w:t>12</w:t>
      </w:r>
      <w:r>
        <w:rPr>
          <w:rFonts w:eastAsia="宋体" w:asciiTheme="minorHAnsi" w:hAnsiTheme="minorHAnsi" w:cstheme="minorBidi"/>
          <w:kern w:val="2"/>
          <w:szCs w:val="24"/>
          <w:lang w:val="en-US" w:eastAsia="zh-CN" w:bidi="ar-SA"/>
        </w:rPr>
        <w:fldChar w:fldCharType="end"/>
      </w:r>
      <w:r>
        <w:rPr>
          <w:rFonts w:hint="eastAsia" w:ascii="黑体" w:eastAsia="黑体" w:hAnsiTheme="minorHAnsi" w:cstheme="minorBidi"/>
          <w:kern w:val="2"/>
          <w:szCs w:val="32"/>
          <w:lang w:val="en-US" w:eastAsia="zh-CN" w:bidi="ar-SA"/>
        </w:rPr>
        <w:fldChar w:fldCharType="end"/>
      </w:r>
    </w:p>
    <w:p>
      <w:pPr>
        <w:pStyle w:val="7"/>
        <w:tabs>
          <w:tab w:val="right" w:leader="dot" w:pos="8844"/>
        </w:tabs>
        <w:rPr>
          <w:rFonts w:eastAsia="宋体" w:asciiTheme="minorHAnsi" w:hAnsiTheme="minorHAnsi" w:cstheme="minorBidi"/>
          <w:kern w:val="2"/>
          <w:szCs w:val="24"/>
          <w:lang w:val="en-US" w:eastAsia="zh-CN" w:bidi="ar-SA"/>
        </w:rPr>
      </w:pPr>
      <w:r>
        <w:rPr>
          <w:rFonts w:hint="eastAsia" w:ascii="黑体" w:eastAsia="黑体" w:hAnsiTheme="minorHAnsi" w:cstheme="minorBidi"/>
          <w:kern w:val="2"/>
          <w:szCs w:val="32"/>
          <w:lang w:val="en-US" w:eastAsia="zh-CN" w:bidi="ar-SA"/>
        </w:rPr>
        <w:fldChar w:fldCharType="begin"/>
      </w:r>
      <w:r>
        <w:rPr>
          <w:rFonts w:hint="eastAsia" w:ascii="黑体" w:eastAsia="黑体" w:hAnsiTheme="minorHAnsi" w:cstheme="minorBidi"/>
          <w:kern w:val="2"/>
          <w:szCs w:val="32"/>
          <w:lang w:val="en-US" w:eastAsia="zh-CN" w:bidi="ar-SA"/>
        </w:rPr>
        <w:instrText xml:space="preserve"> HYPERLINK \l _Toc11316 </w:instrText>
      </w:r>
      <w:r>
        <w:rPr>
          <w:rFonts w:hint="eastAsia" w:ascii="黑体" w:eastAsia="黑体" w:hAnsiTheme="minorHAnsi" w:cstheme="minorBidi"/>
          <w:kern w:val="2"/>
          <w:szCs w:val="32"/>
          <w:lang w:val="en-US" w:eastAsia="zh-CN" w:bidi="ar-SA"/>
        </w:rPr>
        <w:fldChar w:fldCharType="separate"/>
      </w:r>
      <w:r>
        <w:rPr>
          <w:rFonts w:hint="eastAsia" w:eastAsia="宋体" w:asciiTheme="minorHAnsi" w:hAnsiTheme="minorHAnsi" w:cstheme="minorBidi"/>
          <w:kern w:val="2"/>
          <w:szCs w:val="24"/>
          <w:lang w:val="en-US" w:eastAsia="zh-CN" w:bidi="ar-SA"/>
        </w:rPr>
        <w:t>第二节　支持非公有制经济发展</w:t>
      </w:r>
      <w:r>
        <w:rPr>
          <w:rFonts w:eastAsia="宋体" w:asciiTheme="minorHAnsi" w:hAnsiTheme="minorHAnsi" w:cstheme="minorBidi"/>
          <w:kern w:val="2"/>
          <w:szCs w:val="24"/>
          <w:lang w:val="en-US" w:eastAsia="zh-CN" w:bidi="ar-SA"/>
        </w:rPr>
        <w:tab/>
      </w:r>
      <w:r>
        <w:rPr>
          <w:rFonts w:eastAsia="宋体" w:asciiTheme="minorHAnsi" w:hAnsiTheme="minorHAnsi" w:cstheme="minorBidi"/>
          <w:kern w:val="2"/>
          <w:szCs w:val="24"/>
          <w:lang w:val="en-US" w:eastAsia="zh-CN" w:bidi="ar-SA"/>
        </w:rPr>
        <w:fldChar w:fldCharType="begin"/>
      </w:r>
      <w:r>
        <w:rPr>
          <w:rFonts w:eastAsia="宋体" w:asciiTheme="minorHAnsi" w:hAnsiTheme="minorHAnsi" w:cstheme="minorBidi"/>
          <w:kern w:val="2"/>
          <w:szCs w:val="24"/>
          <w:lang w:val="en-US" w:eastAsia="zh-CN" w:bidi="ar-SA"/>
        </w:rPr>
        <w:instrText xml:space="preserve"> PAGEREF _Toc11316 </w:instrText>
      </w:r>
      <w:r>
        <w:rPr>
          <w:rFonts w:eastAsia="宋体" w:asciiTheme="minorHAnsi" w:hAnsiTheme="minorHAnsi" w:cstheme="minorBidi"/>
          <w:kern w:val="2"/>
          <w:szCs w:val="24"/>
          <w:lang w:val="en-US" w:eastAsia="zh-CN" w:bidi="ar-SA"/>
        </w:rPr>
        <w:fldChar w:fldCharType="separate"/>
      </w:r>
      <w:r>
        <w:rPr>
          <w:rFonts w:eastAsia="宋体" w:asciiTheme="minorHAnsi" w:hAnsiTheme="minorHAnsi" w:cstheme="minorBidi"/>
          <w:kern w:val="2"/>
          <w:szCs w:val="24"/>
          <w:lang w:val="en-US" w:eastAsia="zh-CN" w:bidi="ar-SA"/>
        </w:rPr>
        <w:t>12</w:t>
      </w:r>
      <w:r>
        <w:rPr>
          <w:rFonts w:eastAsia="宋体" w:asciiTheme="minorHAnsi" w:hAnsiTheme="minorHAnsi" w:cstheme="minorBidi"/>
          <w:kern w:val="2"/>
          <w:szCs w:val="24"/>
          <w:lang w:val="en-US" w:eastAsia="zh-CN" w:bidi="ar-SA"/>
        </w:rPr>
        <w:fldChar w:fldCharType="end"/>
      </w:r>
      <w:r>
        <w:rPr>
          <w:rFonts w:hint="eastAsia" w:ascii="黑体" w:eastAsia="黑体" w:hAnsiTheme="minorHAnsi" w:cstheme="minorBidi"/>
          <w:kern w:val="2"/>
          <w:szCs w:val="32"/>
          <w:lang w:val="en-US" w:eastAsia="zh-CN" w:bidi="ar-SA"/>
        </w:rPr>
        <w:fldChar w:fldCharType="end"/>
      </w:r>
    </w:p>
    <w:p>
      <w:pPr>
        <w:pStyle w:val="7"/>
        <w:tabs>
          <w:tab w:val="right" w:leader="dot" w:pos="8844"/>
        </w:tabs>
        <w:rPr>
          <w:rFonts w:eastAsia="宋体" w:asciiTheme="minorHAnsi" w:hAnsiTheme="minorHAnsi" w:cstheme="minorBidi"/>
          <w:kern w:val="2"/>
          <w:szCs w:val="24"/>
          <w:lang w:val="en-US" w:eastAsia="zh-CN" w:bidi="ar-SA"/>
        </w:rPr>
      </w:pPr>
      <w:r>
        <w:rPr>
          <w:rFonts w:hint="eastAsia" w:ascii="黑体" w:eastAsia="黑体" w:hAnsiTheme="minorHAnsi" w:cstheme="minorBidi"/>
          <w:kern w:val="2"/>
          <w:szCs w:val="32"/>
          <w:lang w:val="en-US" w:eastAsia="zh-CN" w:bidi="ar-SA"/>
        </w:rPr>
        <w:fldChar w:fldCharType="begin"/>
      </w:r>
      <w:r>
        <w:rPr>
          <w:rFonts w:hint="eastAsia" w:ascii="黑体" w:eastAsia="黑体" w:hAnsiTheme="minorHAnsi" w:cstheme="minorBidi"/>
          <w:kern w:val="2"/>
          <w:szCs w:val="32"/>
          <w:lang w:val="en-US" w:eastAsia="zh-CN" w:bidi="ar-SA"/>
        </w:rPr>
        <w:instrText xml:space="preserve"> HYPERLINK \l _Toc21528 </w:instrText>
      </w:r>
      <w:r>
        <w:rPr>
          <w:rFonts w:hint="eastAsia" w:ascii="黑体" w:eastAsia="黑体" w:hAnsiTheme="minorHAnsi" w:cstheme="minorBidi"/>
          <w:kern w:val="2"/>
          <w:szCs w:val="32"/>
          <w:lang w:val="en-US" w:eastAsia="zh-CN" w:bidi="ar-SA"/>
        </w:rPr>
        <w:fldChar w:fldCharType="separate"/>
      </w:r>
      <w:r>
        <w:rPr>
          <w:rFonts w:hint="eastAsia" w:eastAsia="宋体" w:asciiTheme="minorHAnsi" w:hAnsiTheme="minorHAnsi" w:cstheme="minorBidi"/>
          <w:kern w:val="2"/>
          <w:szCs w:val="24"/>
          <w:lang w:val="en-US" w:eastAsia="zh-CN" w:bidi="ar-SA"/>
        </w:rPr>
        <w:t>第三节　深化财税体制改革</w:t>
      </w:r>
      <w:r>
        <w:rPr>
          <w:rFonts w:eastAsia="宋体" w:asciiTheme="minorHAnsi" w:hAnsiTheme="minorHAnsi" w:cstheme="minorBidi"/>
          <w:kern w:val="2"/>
          <w:szCs w:val="24"/>
          <w:lang w:val="en-US" w:eastAsia="zh-CN" w:bidi="ar-SA"/>
        </w:rPr>
        <w:tab/>
      </w:r>
      <w:r>
        <w:rPr>
          <w:rFonts w:eastAsia="宋体" w:asciiTheme="minorHAnsi" w:hAnsiTheme="minorHAnsi" w:cstheme="minorBidi"/>
          <w:kern w:val="2"/>
          <w:szCs w:val="24"/>
          <w:lang w:val="en-US" w:eastAsia="zh-CN" w:bidi="ar-SA"/>
        </w:rPr>
        <w:fldChar w:fldCharType="begin"/>
      </w:r>
      <w:r>
        <w:rPr>
          <w:rFonts w:eastAsia="宋体" w:asciiTheme="minorHAnsi" w:hAnsiTheme="minorHAnsi" w:cstheme="minorBidi"/>
          <w:kern w:val="2"/>
          <w:szCs w:val="24"/>
          <w:lang w:val="en-US" w:eastAsia="zh-CN" w:bidi="ar-SA"/>
        </w:rPr>
        <w:instrText xml:space="preserve"> PAGEREF _Toc21528 </w:instrText>
      </w:r>
      <w:r>
        <w:rPr>
          <w:rFonts w:eastAsia="宋体" w:asciiTheme="minorHAnsi" w:hAnsiTheme="minorHAnsi" w:cstheme="minorBidi"/>
          <w:kern w:val="2"/>
          <w:szCs w:val="24"/>
          <w:lang w:val="en-US" w:eastAsia="zh-CN" w:bidi="ar-SA"/>
        </w:rPr>
        <w:fldChar w:fldCharType="separate"/>
      </w:r>
      <w:r>
        <w:rPr>
          <w:rFonts w:eastAsia="宋体" w:asciiTheme="minorHAnsi" w:hAnsiTheme="minorHAnsi" w:cstheme="minorBidi"/>
          <w:kern w:val="2"/>
          <w:szCs w:val="24"/>
          <w:lang w:val="en-US" w:eastAsia="zh-CN" w:bidi="ar-SA"/>
        </w:rPr>
        <w:t>13</w:t>
      </w:r>
      <w:r>
        <w:rPr>
          <w:rFonts w:eastAsia="宋体" w:asciiTheme="minorHAnsi" w:hAnsiTheme="minorHAnsi" w:cstheme="minorBidi"/>
          <w:kern w:val="2"/>
          <w:szCs w:val="24"/>
          <w:lang w:val="en-US" w:eastAsia="zh-CN" w:bidi="ar-SA"/>
        </w:rPr>
        <w:fldChar w:fldCharType="end"/>
      </w:r>
      <w:r>
        <w:rPr>
          <w:rFonts w:hint="eastAsia" w:ascii="黑体" w:eastAsia="黑体" w:hAnsiTheme="minorHAnsi" w:cstheme="minorBidi"/>
          <w:kern w:val="2"/>
          <w:szCs w:val="32"/>
          <w:lang w:val="en-US" w:eastAsia="zh-CN" w:bidi="ar-SA"/>
        </w:rPr>
        <w:fldChar w:fldCharType="end"/>
      </w:r>
    </w:p>
    <w:p>
      <w:pPr>
        <w:pStyle w:val="7"/>
        <w:tabs>
          <w:tab w:val="right" w:leader="dot" w:pos="8844"/>
        </w:tabs>
        <w:rPr>
          <w:rFonts w:eastAsia="宋体" w:asciiTheme="minorHAnsi" w:hAnsiTheme="minorHAnsi" w:cstheme="minorBidi"/>
          <w:kern w:val="2"/>
          <w:szCs w:val="24"/>
          <w:lang w:val="en-US" w:eastAsia="zh-CN" w:bidi="ar-SA"/>
        </w:rPr>
      </w:pPr>
      <w:r>
        <w:rPr>
          <w:rFonts w:hint="eastAsia" w:ascii="黑体" w:eastAsia="黑体" w:hAnsiTheme="minorHAnsi" w:cstheme="minorBidi"/>
          <w:kern w:val="2"/>
          <w:szCs w:val="32"/>
          <w:lang w:val="en-US" w:eastAsia="zh-CN" w:bidi="ar-SA"/>
        </w:rPr>
        <w:fldChar w:fldCharType="begin"/>
      </w:r>
      <w:r>
        <w:rPr>
          <w:rFonts w:hint="eastAsia" w:ascii="黑体" w:eastAsia="黑体" w:hAnsiTheme="minorHAnsi" w:cstheme="minorBidi"/>
          <w:kern w:val="2"/>
          <w:szCs w:val="32"/>
          <w:lang w:val="en-US" w:eastAsia="zh-CN" w:bidi="ar-SA"/>
        </w:rPr>
        <w:instrText xml:space="preserve"> HYPERLINK \l _Toc7971 </w:instrText>
      </w:r>
      <w:r>
        <w:rPr>
          <w:rFonts w:hint="eastAsia" w:ascii="黑体" w:eastAsia="黑体" w:hAnsiTheme="minorHAnsi" w:cstheme="minorBidi"/>
          <w:kern w:val="2"/>
          <w:szCs w:val="32"/>
          <w:lang w:val="en-US" w:eastAsia="zh-CN" w:bidi="ar-SA"/>
        </w:rPr>
        <w:fldChar w:fldCharType="separate"/>
      </w:r>
      <w:r>
        <w:rPr>
          <w:rFonts w:hint="eastAsia" w:eastAsia="宋体" w:asciiTheme="minorHAnsi" w:hAnsiTheme="minorHAnsi" w:cstheme="minorBidi"/>
          <w:kern w:val="2"/>
          <w:szCs w:val="24"/>
          <w:lang w:val="en-US" w:eastAsia="zh-CN" w:bidi="ar-SA"/>
        </w:rPr>
        <w:t>第四节  推进行政管理体制改革</w:t>
      </w:r>
      <w:r>
        <w:rPr>
          <w:rFonts w:eastAsia="宋体" w:asciiTheme="minorHAnsi" w:hAnsiTheme="minorHAnsi" w:cstheme="minorBidi"/>
          <w:kern w:val="2"/>
          <w:szCs w:val="24"/>
          <w:lang w:val="en-US" w:eastAsia="zh-CN" w:bidi="ar-SA"/>
        </w:rPr>
        <w:tab/>
      </w:r>
      <w:r>
        <w:rPr>
          <w:rFonts w:eastAsia="宋体" w:asciiTheme="minorHAnsi" w:hAnsiTheme="minorHAnsi" w:cstheme="minorBidi"/>
          <w:kern w:val="2"/>
          <w:szCs w:val="24"/>
          <w:lang w:val="en-US" w:eastAsia="zh-CN" w:bidi="ar-SA"/>
        </w:rPr>
        <w:fldChar w:fldCharType="begin"/>
      </w:r>
      <w:r>
        <w:rPr>
          <w:rFonts w:eastAsia="宋体" w:asciiTheme="minorHAnsi" w:hAnsiTheme="minorHAnsi" w:cstheme="minorBidi"/>
          <w:kern w:val="2"/>
          <w:szCs w:val="24"/>
          <w:lang w:val="en-US" w:eastAsia="zh-CN" w:bidi="ar-SA"/>
        </w:rPr>
        <w:instrText xml:space="preserve"> PAGEREF _Toc7971 </w:instrText>
      </w:r>
      <w:r>
        <w:rPr>
          <w:rFonts w:eastAsia="宋体" w:asciiTheme="minorHAnsi" w:hAnsiTheme="minorHAnsi" w:cstheme="minorBidi"/>
          <w:kern w:val="2"/>
          <w:szCs w:val="24"/>
          <w:lang w:val="en-US" w:eastAsia="zh-CN" w:bidi="ar-SA"/>
        </w:rPr>
        <w:fldChar w:fldCharType="separate"/>
      </w:r>
      <w:r>
        <w:rPr>
          <w:rFonts w:eastAsia="宋体" w:asciiTheme="minorHAnsi" w:hAnsiTheme="minorHAnsi" w:cstheme="minorBidi"/>
          <w:kern w:val="2"/>
          <w:szCs w:val="24"/>
          <w:lang w:val="en-US" w:eastAsia="zh-CN" w:bidi="ar-SA"/>
        </w:rPr>
        <w:t>14</w:t>
      </w:r>
      <w:r>
        <w:rPr>
          <w:rFonts w:eastAsia="宋体" w:asciiTheme="minorHAnsi" w:hAnsiTheme="minorHAnsi" w:cstheme="minorBidi"/>
          <w:kern w:val="2"/>
          <w:szCs w:val="24"/>
          <w:lang w:val="en-US" w:eastAsia="zh-CN" w:bidi="ar-SA"/>
        </w:rPr>
        <w:fldChar w:fldCharType="end"/>
      </w:r>
      <w:r>
        <w:rPr>
          <w:rFonts w:hint="eastAsia" w:ascii="黑体" w:eastAsia="黑体" w:hAnsiTheme="minorHAnsi" w:cstheme="minorBidi"/>
          <w:kern w:val="2"/>
          <w:szCs w:val="32"/>
          <w:lang w:val="en-US" w:eastAsia="zh-CN" w:bidi="ar-SA"/>
        </w:rPr>
        <w:fldChar w:fldCharType="end"/>
      </w:r>
    </w:p>
    <w:p>
      <w:pPr>
        <w:pStyle w:val="7"/>
        <w:tabs>
          <w:tab w:val="right" w:leader="dot" w:pos="8844"/>
        </w:tabs>
        <w:rPr>
          <w:rFonts w:eastAsia="宋体" w:asciiTheme="minorHAnsi" w:hAnsiTheme="minorHAnsi" w:cstheme="minorBidi"/>
          <w:kern w:val="2"/>
          <w:szCs w:val="24"/>
          <w:lang w:val="en-US" w:eastAsia="zh-CN" w:bidi="ar-SA"/>
        </w:rPr>
      </w:pPr>
      <w:r>
        <w:rPr>
          <w:rFonts w:hint="eastAsia" w:ascii="黑体" w:eastAsia="黑体" w:hAnsiTheme="minorHAnsi" w:cstheme="minorBidi"/>
          <w:kern w:val="2"/>
          <w:szCs w:val="32"/>
          <w:lang w:val="en-US" w:eastAsia="zh-CN" w:bidi="ar-SA"/>
        </w:rPr>
        <w:fldChar w:fldCharType="begin"/>
      </w:r>
      <w:r>
        <w:rPr>
          <w:rFonts w:hint="eastAsia" w:ascii="黑体" w:eastAsia="黑体" w:hAnsiTheme="minorHAnsi" w:cstheme="minorBidi"/>
          <w:kern w:val="2"/>
          <w:szCs w:val="32"/>
          <w:lang w:val="en-US" w:eastAsia="zh-CN" w:bidi="ar-SA"/>
        </w:rPr>
        <w:instrText xml:space="preserve"> HYPERLINK \l _Toc17935 </w:instrText>
      </w:r>
      <w:r>
        <w:rPr>
          <w:rFonts w:hint="eastAsia" w:ascii="黑体" w:eastAsia="黑体" w:hAnsiTheme="minorHAnsi" w:cstheme="minorBidi"/>
          <w:kern w:val="2"/>
          <w:szCs w:val="32"/>
          <w:lang w:val="en-US" w:eastAsia="zh-CN" w:bidi="ar-SA"/>
        </w:rPr>
        <w:fldChar w:fldCharType="separate"/>
      </w:r>
      <w:r>
        <w:rPr>
          <w:rFonts w:hint="eastAsia" w:eastAsia="宋体" w:asciiTheme="minorHAnsi" w:hAnsiTheme="minorHAnsi" w:cstheme="minorBidi"/>
          <w:kern w:val="2"/>
          <w:szCs w:val="24"/>
          <w:lang w:val="en-US" w:eastAsia="zh-CN" w:bidi="ar-SA"/>
        </w:rPr>
        <w:t>第五节　深化行政审批制度改革</w:t>
      </w:r>
      <w:r>
        <w:rPr>
          <w:rFonts w:eastAsia="宋体" w:asciiTheme="minorHAnsi" w:hAnsiTheme="minorHAnsi" w:cstheme="minorBidi"/>
          <w:kern w:val="2"/>
          <w:szCs w:val="24"/>
          <w:lang w:val="en-US" w:eastAsia="zh-CN" w:bidi="ar-SA"/>
        </w:rPr>
        <w:tab/>
      </w:r>
      <w:r>
        <w:rPr>
          <w:rFonts w:eastAsia="宋体" w:asciiTheme="minorHAnsi" w:hAnsiTheme="minorHAnsi" w:cstheme="minorBidi"/>
          <w:kern w:val="2"/>
          <w:szCs w:val="24"/>
          <w:lang w:val="en-US" w:eastAsia="zh-CN" w:bidi="ar-SA"/>
        </w:rPr>
        <w:fldChar w:fldCharType="begin"/>
      </w:r>
      <w:r>
        <w:rPr>
          <w:rFonts w:eastAsia="宋体" w:asciiTheme="minorHAnsi" w:hAnsiTheme="minorHAnsi" w:cstheme="minorBidi"/>
          <w:kern w:val="2"/>
          <w:szCs w:val="24"/>
          <w:lang w:val="en-US" w:eastAsia="zh-CN" w:bidi="ar-SA"/>
        </w:rPr>
        <w:instrText xml:space="preserve"> PAGEREF _Toc17935 </w:instrText>
      </w:r>
      <w:r>
        <w:rPr>
          <w:rFonts w:eastAsia="宋体" w:asciiTheme="minorHAnsi" w:hAnsiTheme="minorHAnsi" w:cstheme="minorBidi"/>
          <w:kern w:val="2"/>
          <w:szCs w:val="24"/>
          <w:lang w:val="en-US" w:eastAsia="zh-CN" w:bidi="ar-SA"/>
        </w:rPr>
        <w:fldChar w:fldCharType="separate"/>
      </w:r>
      <w:r>
        <w:rPr>
          <w:rFonts w:eastAsia="宋体" w:asciiTheme="minorHAnsi" w:hAnsiTheme="minorHAnsi" w:cstheme="minorBidi"/>
          <w:kern w:val="2"/>
          <w:szCs w:val="24"/>
          <w:lang w:val="en-US" w:eastAsia="zh-CN" w:bidi="ar-SA"/>
        </w:rPr>
        <w:t>15</w:t>
      </w:r>
      <w:r>
        <w:rPr>
          <w:rFonts w:eastAsia="宋体" w:asciiTheme="minorHAnsi" w:hAnsiTheme="minorHAnsi" w:cstheme="minorBidi"/>
          <w:kern w:val="2"/>
          <w:szCs w:val="24"/>
          <w:lang w:val="en-US" w:eastAsia="zh-CN" w:bidi="ar-SA"/>
        </w:rPr>
        <w:fldChar w:fldCharType="end"/>
      </w:r>
      <w:r>
        <w:rPr>
          <w:rFonts w:hint="eastAsia" w:ascii="黑体" w:eastAsia="黑体" w:hAnsiTheme="minorHAnsi" w:cstheme="minorBidi"/>
          <w:kern w:val="2"/>
          <w:szCs w:val="32"/>
          <w:lang w:val="en-US" w:eastAsia="zh-CN" w:bidi="ar-SA"/>
        </w:rPr>
        <w:fldChar w:fldCharType="end"/>
      </w:r>
    </w:p>
    <w:p>
      <w:pPr>
        <w:pStyle w:val="7"/>
        <w:tabs>
          <w:tab w:val="right" w:leader="dot" w:pos="8844"/>
        </w:tabs>
        <w:rPr>
          <w:rFonts w:eastAsia="宋体" w:asciiTheme="minorHAnsi" w:hAnsiTheme="minorHAnsi" w:cstheme="minorBidi"/>
          <w:kern w:val="2"/>
          <w:szCs w:val="24"/>
          <w:lang w:val="en-US" w:eastAsia="zh-CN" w:bidi="ar-SA"/>
        </w:rPr>
      </w:pPr>
      <w:r>
        <w:rPr>
          <w:rFonts w:hint="eastAsia" w:ascii="黑体" w:eastAsia="黑体" w:hAnsiTheme="minorHAnsi" w:cstheme="minorBidi"/>
          <w:kern w:val="2"/>
          <w:szCs w:val="32"/>
          <w:lang w:val="en-US" w:eastAsia="zh-CN" w:bidi="ar-SA"/>
        </w:rPr>
        <w:fldChar w:fldCharType="begin"/>
      </w:r>
      <w:r>
        <w:rPr>
          <w:rFonts w:hint="eastAsia" w:ascii="黑体" w:eastAsia="黑体" w:hAnsiTheme="minorHAnsi" w:cstheme="minorBidi"/>
          <w:kern w:val="2"/>
          <w:szCs w:val="32"/>
          <w:lang w:val="en-US" w:eastAsia="zh-CN" w:bidi="ar-SA"/>
        </w:rPr>
        <w:instrText xml:space="preserve"> HYPERLINK \l _Toc2196 </w:instrText>
      </w:r>
      <w:r>
        <w:rPr>
          <w:rFonts w:hint="eastAsia" w:ascii="黑体" w:eastAsia="黑体" w:hAnsiTheme="minorHAnsi" w:cstheme="minorBidi"/>
          <w:kern w:val="2"/>
          <w:szCs w:val="32"/>
          <w:lang w:val="en-US" w:eastAsia="zh-CN" w:bidi="ar-SA"/>
        </w:rPr>
        <w:fldChar w:fldCharType="separate"/>
      </w:r>
      <w:r>
        <w:rPr>
          <w:rFonts w:hint="eastAsia" w:eastAsia="宋体" w:asciiTheme="minorHAnsi" w:hAnsiTheme="minorHAnsi" w:cstheme="minorBidi"/>
          <w:kern w:val="2"/>
          <w:szCs w:val="24"/>
          <w:lang w:val="en-US" w:eastAsia="zh-CN" w:bidi="ar-SA"/>
        </w:rPr>
        <w:t>第六节　全力推进创新驱动</w:t>
      </w:r>
      <w:r>
        <w:rPr>
          <w:rFonts w:eastAsia="宋体" w:asciiTheme="minorHAnsi" w:hAnsiTheme="minorHAnsi" w:cstheme="minorBidi"/>
          <w:kern w:val="2"/>
          <w:szCs w:val="24"/>
          <w:lang w:val="en-US" w:eastAsia="zh-CN" w:bidi="ar-SA"/>
        </w:rPr>
        <w:tab/>
      </w:r>
      <w:r>
        <w:rPr>
          <w:rFonts w:eastAsia="宋体" w:asciiTheme="minorHAnsi" w:hAnsiTheme="minorHAnsi" w:cstheme="minorBidi"/>
          <w:kern w:val="2"/>
          <w:szCs w:val="24"/>
          <w:lang w:val="en-US" w:eastAsia="zh-CN" w:bidi="ar-SA"/>
        </w:rPr>
        <w:fldChar w:fldCharType="begin"/>
      </w:r>
      <w:r>
        <w:rPr>
          <w:rFonts w:eastAsia="宋体" w:asciiTheme="minorHAnsi" w:hAnsiTheme="minorHAnsi" w:cstheme="minorBidi"/>
          <w:kern w:val="2"/>
          <w:szCs w:val="24"/>
          <w:lang w:val="en-US" w:eastAsia="zh-CN" w:bidi="ar-SA"/>
        </w:rPr>
        <w:instrText xml:space="preserve"> PAGEREF _Toc2196 </w:instrText>
      </w:r>
      <w:r>
        <w:rPr>
          <w:rFonts w:eastAsia="宋体" w:asciiTheme="minorHAnsi" w:hAnsiTheme="minorHAnsi" w:cstheme="minorBidi"/>
          <w:kern w:val="2"/>
          <w:szCs w:val="24"/>
          <w:lang w:val="en-US" w:eastAsia="zh-CN" w:bidi="ar-SA"/>
        </w:rPr>
        <w:fldChar w:fldCharType="separate"/>
      </w:r>
      <w:r>
        <w:rPr>
          <w:rFonts w:eastAsia="宋体" w:asciiTheme="minorHAnsi" w:hAnsiTheme="minorHAnsi" w:cstheme="minorBidi"/>
          <w:kern w:val="2"/>
          <w:szCs w:val="24"/>
          <w:lang w:val="en-US" w:eastAsia="zh-CN" w:bidi="ar-SA"/>
        </w:rPr>
        <w:t>16</w:t>
      </w:r>
      <w:r>
        <w:rPr>
          <w:rFonts w:eastAsia="宋体" w:asciiTheme="minorHAnsi" w:hAnsiTheme="minorHAnsi" w:cstheme="minorBidi"/>
          <w:kern w:val="2"/>
          <w:szCs w:val="24"/>
          <w:lang w:val="en-US" w:eastAsia="zh-CN" w:bidi="ar-SA"/>
        </w:rPr>
        <w:fldChar w:fldCharType="end"/>
      </w:r>
      <w:r>
        <w:rPr>
          <w:rFonts w:hint="eastAsia" w:ascii="黑体" w:eastAsia="黑体" w:hAnsiTheme="minorHAnsi" w:cstheme="minorBidi"/>
          <w:kern w:val="2"/>
          <w:szCs w:val="32"/>
          <w:lang w:val="en-US" w:eastAsia="zh-CN" w:bidi="ar-SA"/>
        </w:rPr>
        <w:fldChar w:fldCharType="end"/>
      </w:r>
    </w:p>
    <w:p>
      <w:pPr>
        <w:pStyle w:val="7"/>
        <w:tabs>
          <w:tab w:val="right" w:leader="dot" w:pos="8844"/>
        </w:tabs>
        <w:rPr>
          <w:rFonts w:eastAsia="宋体" w:asciiTheme="minorHAnsi" w:hAnsiTheme="minorHAnsi" w:cstheme="minorBidi"/>
          <w:kern w:val="2"/>
          <w:szCs w:val="24"/>
          <w:lang w:val="en-US" w:eastAsia="zh-CN" w:bidi="ar-SA"/>
        </w:rPr>
      </w:pPr>
      <w:r>
        <w:rPr>
          <w:rFonts w:hint="eastAsia" w:ascii="黑体" w:eastAsia="黑体" w:hAnsiTheme="minorHAnsi" w:cstheme="minorBidi"/>
          <w:kern w:val="2"/>
          <w:szCs w:val="32"/>
          <w:lang w:val="en-US" w:eastAsia="zh-CN" w:bidi="ar-SA"/>
        </w:rPr>
        <w:fldChar w:fldCharType="begin"/>
      </w:r>
      <w:r>
        <w:rPr>
          <w:rFonts w:hint="eastAsia" w:ascii="黑体" w:eastAsia="黑体" w:hAnsiTheme="minorHAnsi" w:cstheme="minorBidi"/>
          <w:kern w:val="2"/>
          <w:szCs w:val="32"/>
          <w:lang w:val="en-US" w:eastAsia="zh-CN" w:bidi="ar-SA"/>
        </w:rPr>
        <w:instrText xml:space="preserve"> HYPERLINK \l _Toc27868 </w:instrText>
      </w:r>
      <w:r>
        <w:rPr>
          <w:rFonts w:hint="eastAsia" w:ascii="黑体" w:eastAsia="黑体" w:hAnsiTheme="minorHAnsi" w:cstheme="minorBidi"/>
          <w:kern w:val="2"/>
          <w:szCs w:val="32"/>
          <w:lang w:val="en-US" w:eastAsia="zh-CN" w:bidi="ar-SA"/>
        </w:rPr>
        <w:fldChar w:fldCharType="separate"/>
      </w:r>
      <w:r>
        <w:rPr>
          <w:rFonts w:hint="eastAsia" w:eastAsia="宋体" w:asciiTheme="minorHAnsi" w:hAnsiTheme="minorHAnsi" w:cstheme="minorBidi"/>
          <w:kern w:val="2"/>
          <w:szCs w:val="24"/>
          <w:lang w:val="en-US" w:eastAsia="zh-CN" w:bidi="ar-SA"/>
        </w:rPr>
        <w:t>第七节　积极发展政产学研金联盟</w:t>
      </w:r>
      <w:r>
        <w:rPr>
          <w:rFonts w:eastAsia="宋体" w:asciiTheme="minorHAnsi" w:hAnsiTheme="minorHAnsi" w:cstheme="minorBidi"/>
          <w:kern w:val="2"/>
          <w:szCs w:val="24"/>
          <w:lang w:val="en-US" w:eastAsia="zh-CN" w:bidi="ar-SA"/>
        </w:rPr>
        <w:tab/>
      </w:r>
      <w:r>
        <w:rPr>
          <w:rFonts w:eastAsia="宋体" w:asciiTheme="minorHAnsi" w:hAnsiTheme="minorHAnsi" w:cstheme="minorBidi"/>
          <w:kern w:val="2"/>
          <w:szCs w:val="24"/>
          <w:lang w:val="en-US" w:eastAsia="zh-CN" w:bidi="ar-SA"/>
        </w:rPr>
        <w:fldChar w:fldCharType="begin"/>
      </w:r>
      <w:r>
        <w:rPr>
          <w:rFonts w:eastAsia="宋体" w:asciiTheme="minorHAnsi" w:hAnsiTheme="minorHAnsi" w:cstheme="minorBidi"/>
          <w:kern w:val="2"/>
          <w:szCs w:val="24"/>
          <w:lang w:val="en-US" w:eastAsia="zh-CN" w:bidi="ar-SA"/>
        </w:rPr>
        <w:instrText xml:space="preserve"> PAGEREF _Toc27868 </w:instrText>
      </w:r>
      <w:r>
        <w:rPr>
          <w:rFonts w:eastAsia="宋体" w:asciiTheme="minorHAnsi" w:hAnsiTheme="minorHAnsi" w:cstheme="minorBidi"/>
          <w:kern w:val="2"/>
          <w:szCs w:val="24"/>
          <w:lang w:val="en-US" w:eastAsia="zh-CN" w:bidi="ar-SA"/>
        </w:rPr>
        <w:fldChar w:fldCharType="separate"/>
      </w:r>
      <w:r>
        <w:rPr>
          <w:rFonts w:eastAsia="宋体" w:asciiTheme="minorHAnsi" w:hAnsiTheme="minorHAnsi" w:cstheme="minorBidi"/>
          <w:kern w:val="2"/>
          <w:szCs w:val="24"/>
          <w:lang w:val="en-US" w:eastAsia="zh-CN" w:bidi="ar-SA"/>
        </w:rPr>
        <w:t>17</w:t>
      </w:r>
      <w:r>
        <w:rPr>
          <w:rFonts w:eastAsia="宋体" w:asciiTheme="minorHAnsi" w:hAnsiTheme="minorHAnsi" w:cstheme="minorBidi"/>
          <w:kern w:val="2"/>
          <w:szCs w:val="24"/>
          <w:lang w:val="en-US" w:eastAsia="zh-CN" w:bidi="ar-SA"/>
        </w:rPr>
        <w:fldChar w:fldCharType="end"/>
      </w:r>
      <w:r>
        <w:rPr>
          <w:rFonts w:hint="eastAsia" w:ascii="黑体" w:eastAsia="黑体" w:hAnsiTheme="minorHAnsi" w:cstheme="minorBidi"/>
          <w:kern w:val="2"/>
          <w:szCs w:val="32"/>
          <w:lang w:val="en-US" w:eastAsia="zh-CN" w:bidi="ar-SA"/>
        </w:rPr>
        <w:fldChar w:fldCharType="end"/>
      </w:r>
    </w:p>
    <w:p>
      <w:pPr>
        <w:pStyle w:val="7"/>
        <w:tabs>
          <w:tab w:val="right" w:leader="dot" w:pos="8844"/>
        </w:tabs>
        <w:rPr>
          <w:rFonts w:eastAsia="宋体" w:asciiTheme="minorHAnsi" w:hAnsiTheme="minorHAnsi" w:cstheme="minorBidi"/>
          <w:kern w:val="2"/>
          <w:szCs w:val="24"/>
          <w:lang w:val="en-US" w:eastAsia="zh-CN" w:bidi="ar-SA"/>
        </w:rPr>
      </w:pPr>
      <w:r>
        <w:rPr>
          <w:rFonts w:hint="eastAsia" w:ascii="黑体" w:eastAsia="黑体" w:hAnsiTheme="minorHAnsi" w:cstheme="minorBidi"/>
          <w:kern w:val="2"/>
          <w:szCs w:val="32"/>
          <w:lang w:val="en-US" w:eastAsia="zh-CN" w:bidi="ar-SA"/>
        </w:rPr>
        <w:fldChar w:fldCharType="begin"/>
      </w:r>
      <w:r>
        <w:rPr>
          <w:rFonts w:hint="eastAsia" w:ascii="黑体" w:eastAsia="黑体" w:hAnsiTheme="minorHAnsi" w:cstheme="minorBidi"/>
          <w:kern w:val="2"/>
          <w:szCs w:val="32"/>
          <w:lang w:val="en-US" w:eastAsia="zh-CN" w:bidi="ar-SA"/>
        </w:rPr>
        <w:instrText xml:space="preserve"> HYPERLINK \l _Toc1906 </w:instrText>
      </w:r>
      <w:r>
        <w:rPr>
          <w:rFonts w:hint="eastAsia" w:ascii="黑体" w:eastAsia="黑体" w:hAnsiTheme="minorHAnsi" w:cstheme="minorBidi"/>
          <w:kern w:val="2"/>
          <w:szCs w:val="32"/>
          <w:lang w:val="en-US" w:eastAsia="zh-CN" w:bidi="ar-SA"/>
        </w:rPr>
        <w:fldChar w:fldCharType="separate"/>
      </w:r>
      <w:r>
        <w:rPr>
          <w:rFonts w:hint="eastAsia" w:eastAsia="宋体" w:asciiTheme="minorHAnsi" w:hAnsiTheme="minorHAnsi" w:cstheme="minorBidi"/>
          <w:kern w:val="2"/>
          <w:szCs w:val="24"/>
          <w:lang w:val="en-US" w:eastAsia="zh-CN" w:bidi="ar-SA"/>
        </w:rPr>
        <w:t>第八节　积极扩大对外开放</w:t>
      </w:r>
      <w:r>
        <w:rPr>
          <w:rFonts w:eastAsia="宋体" w:asciiTheme="minorHAnsi" w:hAnsiTheme="minorHAnsi" w:cstheme="minorBidi"/>
          <w:kern w:val="2"/>
          <w:szCs w:val="24"/>
          <w:lang w:val="en-US" w:eastAsia="zh-CN" w:bidi="ar-SA"/>
        </w:rPr>
        <w:tab/>
      </w:r>
      <w:r>
        <w:rPr>
          <w:rFonts w:eastAsia="宋体" w:asciiTheme="minorHAnsi" w:hAnsiTheme="minorHAnsi" w:cstheme="minorBidi"/>
          <w:kern w:val="2"/>
          <w:szCs w:val="24"/>
          <w:lang w:val="en-US" w:eastAsia="zh-CN" w:bidi="ar-SA"/>
        </w:rPr>
        <w:fldChar w:fldCharType="begin"/>
      </w:r>
      <w:r>
        <w:rPr>
          <w:rFonts w:eastAsia="宋体" w:asciiTheme="minorHAnsi" w:hAnsiTheme="minorHAnsi" w:cstheme="minorBidi"/>
          <w:kern w:val="2"/>
          <w:szCs w:val="24"/>
          <w:lang w:val="en-US" w:eastAsia="zh-CN" w:bidi="ar-SA"/>
        </w:rPr>
        <w:instrText xml:space="preserve"> PAGEREF _Toc1906 </w:instrText>
      </w:r>
      <w:r>
        <w:rPr>
          <w:rFonts w:eastAsia="宋体" w:asciiTheme="minorHAnsi" w:hAnsiTheme="minorHAnsi" w:cstheme="minorBidi"/>
          <w:kern w:val="2"/>
          <w:szCs w:val="24"/>
          <w:lang w:val="en-US" w:eastAsia="zh-CN" w:bidi="ar-SA"/>
        </w:rPr>
        <w:fldChar w:fldCharType="separate"/>
      </w:r>
      <w:r>
        <w:rPr>
          <w:rFonts w:eastAsia="宋体" w:asciiTheme="minorHAnsi" w:hAnsiTheme="minorHAnsi" w:cstheme="minorBidi"/>
          <w:kern w:val="2"/>
          <w:szCs w:val="24"/>
          <w:lang w:val="en-US" w:eastAsia="zh-CN" w:bidi="ar-SA"/>
        </w:rPr>
        <w:t>19</w:t>
      </w:r>
      <w:r>
        <w:rPr>
          <w:rFonts w:eastAsia="宋体" w:asciiTheme="minorHAnsi" w:hAnsiTheme="minorHAnsi" w:cstheme="minorBidi"/>
          <w:kern w:val="2"/>
          <w:szCs w:val="24"/>
          <w:lang w:val="en-US" w:eastAsia="zh-CN" w:bidi="ar-SA"/>
        </w:rPr>
        <w:fldChar w:fldCharType="end"/>
      </w:r>
      <w:r>
        <w:rPr>
          <w:rFonts w:hint="eastAsia" w:ascii="黑体" w:eastAsia="黑体" w:hAnsiTheme="minorHAnsi" w:cstheme="minorBidi"/>
          <w:kern w:val="2"/>
          <w:szCs w:val="32"/>
          <w:lang w:val="en-US" w:eastAsia="zh-CN" w:bidi="ar-SA"/>
        </w:rPr>
        <w:fldChar w:fldCharType="end"/>
      </w:r>
    </w:p>
    <w:p>
      <w:pPr>
        <w:pStyle w:val="6"/>
        <w:tabs>
          <w:tab w:val="right" w:leader="dot" w:pos="8844"/>
        </w:tabs>
        <w:rPr>
          <w:rFonts w:eastAsia="宋体" w:asciiTheme="minorHAnsi" w:hAnsiTheme="minorHAnsi" w:cstheme="minorBidi"/>
          <w:kern w:val="2"/>
          <w:szCs w:val="24"/>
          <w:lang w:val="en-US" w:eastAsia="zh-CN" w:bidi="ar-SA"/>
        </w:rPr>
      </w:pPr>
      <w:r>
        <w:rPr>
          <w:rFonts w:hint="eastAsia" w:ascii="黑体" w:eastAsia="黑体" w:hAnsiTheme="minorHAnsi" w:cstheme="minorBidi"/>
          <w:kern w:val="2"/>
          <w:szCs w:val="32"/>
          <w:lang w:val="en-US" w:eastAsia="zh-CN" w:bidi="ar-SA"/>
        </w:rPr>
        <w:fldChar w:fldCharType="begin"/>
      </w:r>
      <w:r>
        <w:rPr>
          <w:rFonts w:hint="eastAsia" w:ascii="黑体" w:eastAsia="黑体" w:hAnsiTheme="minorHAnsi" w:cstheme="minorBidi"/>
          <w:kern w:val="2"/>
          <w:szCs w:val="32"/>
          <w:lang w:val="en-US" w:eastAsia="zh-CN" w:bidi="ar-SA"/>
        </w:rPr>
        <w:instrText xml:space="preserve"> HYPERLINK \l _Toc16534 </w:instrText>
      </w:r>
      <w:r>
        <w:rPr>
          <w:rFonts w:hint="eastAsia" w:ascii="黑体" w:eastAsia="黑体" w:hAnsiTheme="minorHAnsi" w:cstheme="minorBidi"/>
          <w:kern w:val="2"/>
          <w:szCs w:val="32"/>
          <w:lang w:val="en-US" w:eastAsia="zh-CN" w:bidi="ar-SA"/>
        </w:rPr>
        <w:fldChar w:fldCharType="separate"/>
      </w:r>
      <w:r>
        <w:rPr>
          <w:rFonts w:hint="eastAsia" w:eastAsia="宋体" w:asciiTheme="minorHAnsi" w:hAnsiTheme="minorHAnsi" w:cstheme="minorBidi"/>
          <w:kern w:val="2"/>
          <w:szCs w:val="24"/>
          <w:lang w:val="en-US" w:eastAsia="zh-CN" w:bidi="ar-SA"/>
        </w:rPr>
        <w:t>第四章  推进空间协调优化　构建区域发展新格局</w:t>
      </w:r>
      <w:r>
        <w:rPr>
          <w:rFonts w:eastAsia="宋体" w:asciiTheme="minorHAnsi" w:hAnsiTheme="minorHAnsi" w:cstheme="minorBidi"/>
          <w:kern w:val="2"/>
          <w:szCs w:val="24"/>
          <w:lang w:val="en-US" w:eastAsia="zh-CN" w:bidi="ar-SA"/>
        </w:rPr>
        <w:tab/>
      </w:r>
      <w:r>
        <w:rPr>
          <w:rFonts w:eastAsia="宋体" w:asciiTheme="minorHAnsi" w:hAnsiTheme="minorHAnsi" w:cstheme="minorBidi"/>
          <w:kern w:val="2"/>
          <w:szCs w:val="24"/>
          <w:lang w:val="en-US" w:eastAsia="zh-CN" w:bidi="ar-SA"/>
        </w:rPr>
        <w:fldChar w:fldCharType="begin"/>
      </w:r>
      <w:r>
        <w:rPr>
          <w:rFonts w:eastAsia="宋体" w:asciiTheme="minorHAnsi" w:hAnsiTheme="minorHAnsi" w:cstheme="minorBidi"/>
          <w:kern w:val="2"/>
          <w:szCs w:val="24"/>
          <w:lang w:val="en-US" w:eastAsia="zh-CN" w:bidi="ar-SA"/>
        </w:rPr>
        <w:instrText xml:space="preserve"> PAGEREF _Toc16534 </w:instrText>
      </w:r>
      <w:r>
        <w:rPr>
          <w:rFonts w:eastAsia="宋体" w:asciiTheme="minorHAnsi" w:hAnsiTheme="minorHAnsi" w:cstheme="minorBidi"/>
          <w:kern w:val="2"/>
          <w:szCs w:val="24"/>
          <w:lang w:val="en-US" w:eastAsia="zh-CN" w:bidi="ar-SA"/>
        </w:rPr>
        <w:fldChar w:fldCharType="separate"/>
      </w:r>
      <w:r>
        <w:rPr>
          <w:rFonts w:eastAsia="宋体" w:asciiTheme="minorHAnsi" w:hAnsiTheme="minorHAnsi" w:cstheme="minorBidi"/>
          <w:kern w:val="2"/>
          <w:szCs w:val="24"/>
          <w:lang w:val="en-US" w:eastAsia="zh-CN" w:bidi="ar-SA"/>
        </w:rPr>
        <w:t>21</w:t>
      </w:r>
      <w:r>
        <w:rPr>
          <w:rFonts w:eastAsia="宋体" w:asciiTheme="minorHAnsi" w:hAnsiTheme="minorHAnsi" w:cstheme="minorBidi"/>
          <w:kern w:val="2"/>
          <w:szCs w:val="24"/>
          <w:lang w:val="en-US" w:eastAsia="zh-CN" w:bidi="ar-SA"/>
        </w:rPr>
        <w:fldChar w:fldCharType="end"/>
      </w:r>
      <w:r>
        <w:rPr>
          <w:rFonts w:hint="eastAsia" w:ascii="黑体" w:eastAsia="黑体" w:hAnsiTheme="minorHAnsi" w:cstheme="minorBidi"/>
          <w:kern w:val="2"/>
          <w:szCs w:val="32"/>
          <w:lang w:val="en-US" w:eastAsia="zh-CN" w:bidi="ar-SA"/>
        </w:rPr>
        <w:fldChar w:fldCharType="end"/>
      </w:r>
    </w:p>
    <w:p>
      <w:pPr>
        <w:pStyle w:val="7"/>
        <w:tabs>
          <w:tab w:val="right" w:leader="dot" w:pos="8844"/>
        </w:tabs>
        <w:rPr>
          <w:rFonts w:eastAsia="宋体" w:asciiTheme="minorHAnsi" w:hAnsiTheme="minorHAnsi" w:cstheme="minorBidi"/>
          <w:kern w:val="2"/>
          <w:szCs w:val="24"/>
          <w:lang w:val="en-US" w:eastAsia="zh-CN" w:bidi="ar-SA"/>
        </w:rPr>
      </w:pPr>
      <w:r>
        <w:rPr>
          <w:rFonts w:hint="eastAsia" w:ascii="黑体" w:eastAsia="黑体" w:hAnsiTheme="minorHAnsi" w:cstheme="minorBidi"/>
          <w:kern w:val="2"/>
          <w:szCs w:val="32"/>
          <w:lang w:val="en-US" w:eastAsia="zh-CN" w:bidi="ar-SA"/>
        </w:rPr>
        <w:fldChar w:fldCharType="begin"/>
      </w:r>
      <w:r>
        <w:rPr>
          <w:rFonts w:hint="eastAsia" w:ascii="黑体" w:eastAsia="黑体" w:hAnsiTheme="minorHAnsi" w:cstheme="minorBidi"/>
          <w:kern w:val="2"/>
          <w:szCs w:val="32"/>
          <w:lang w:val="en-US" w:eastAsia="zh-CN" w:bidi="ar-SA"/>
        </w:rPr>
        <w:instrText xml:space="preserve"> HYPERLINK \l _Toc7400 </w:instrText>
      </w:r>
      <w:r>
        <w:rPr>
          <w:rFonts w:hint="eastAsia" w:ascii="黑体" w:eastAsia="黑体" w:hAnsiTheme="minorHAnsi" w:cstheme="minorBidi"/>
          <w:kern w:val="2"/>
          <w:szCs w:val="32"/>
          <w:lang w:val="en-US" w:eastAsia="zh-CN" w:bidi="ar-SA"/>
        </w:rPr>
        <w:fldChar w:fldCharType="separate"/>
      </w:r>
      <w:r>
        <w:rPr>
          <w:rFonts w:hint="eastAsia" w:eastAsia="宋体" w:asciiTheme="minorHAnsi" w:hAnsiTheme="minorHAnsi" w:cstheme="minorBidi"/>
          <w:kern w:val="2"/>
          <w:szCs w:val="24"/>
          <w:lang w:val="en-US" w:eastAsia="zh-CN" w:bidi="ar-SA"/>
        </w:rPr>
        <w:t>第一节  加快中部宜居美丽城区建设</w:t>
      </w:r>
      <w:r>
        <w:rPr>
          <w:rFonts w:eastAsia="宋体" w:asciiTheme="minorHAnsi" w:hAnsiTheme="minorHAnsi" w:cstheme="minorBidi"/>
          <w:kern w:val="2"/>
          <w:szCs w:val="24"/>
          <w:lang w:val="en-US" w:eastAsia="zh-CN" w:bidi="ar-SA"/>
        </w:rPr>
        <w:tab/>
      </w:r>
      <w:r>
        <w:rPr>
          <w:rFonts w:eastAsia="宋体" w:asciiTheme="minorHAnsi" w:hAnsiTheme="minorHAnsi" w:cstheme="minorBidi"/>
          <w:kern w:val="2"/>
          <w:szCs w:val="24"/>
          <w:lang w:val="en-US" w:eastAsia="zh-CN" w:bidi="ar-SA"/>
        </w:rPr>
        <w:fldChar w:fldCharType="begin"/>
      </w:r>
      <w:r>
        <w:rPr>
          <w:rFonts w:eastAsia="宋体" w:asciiTheme="minorHAnsi" w:hAnsiTheme="minorHAnsi" w:cstheme="minorBidi"/>
          <w:kern w:val="2"/>
          <w:szCs w:val="24"/>
          <w:lang w:val="en-US" w:eastAsia="zh-CN" w:bidi="ar-SA"/>
        </w:rPr>
        <w:instrText xml:space="preserve"> PAGEREF _Toc7400 </w:instrText>
      </w:r>
      <w:r>
        <w:rPr>
          <w:rFonts w:eastAsia="宋体" w:asciiTheme="minorHAnsi" w:hAnsiTheme="minorHAnsi" w:cstheme="minorBidi"/>
          <w:kern w:val="2"/>
          <w:szCs w:val="24"/>
          <w:lang w:val="en-US" w:eastAsia="zh-CN" w:bidi="ar-SA"/>
        </w:rPr>
        <w:fldChar w:fldCharType="separate"/>
      </w:r>
      <w:r>
        <w:rPr>
          <w:rFonts w:eastAsia="宋体" w:asciiTheme="minorHAnsi" w:hAnsiTheme="minorHAnsi" w:cstheme="minorBidi"/>
          <w:kern w:val="2"/>
          <w:szCs w:val="24"/>
          <w:lang w:val="en-US" w:eastAsia="zh-CN" w:bidi="ar-SA"/>
        </w:rPr>
        <w:t>23</w:t>
      </w:r>
      <w:r>
        <w:rPr>
          <w:rFonts w:eastAsia="宋体" w:asciiTheme="minorHAnsi" w:hAnsiTheme="minorHAnsi" w:cstheme="minorBidi"/>
          <w:kern w:val="2"/>
          <w:szCs w:val="24"/>
          <w:lang w:val="en-US" w:eastAsia="zh-CN" w:bidi="ar-SA"/>
        </w:rPr>
        <w:fldChar w:fldCharType="end"/>
      </w:r>
      <w:r>
        <w:rPr>
          <w:rFonts w:hint="eastAsia" w:ascii="黑体" w:eastAsia="黑体" w:hAnsiTheme="minorHAnsi" w:cstheme="minorBidi"/>
          <w:kern w:val="2"/>
          <w:szCs w:val="32"/>
          <w:lang w:val="en-US" w:eastAsia="zh-CN" w:bidi="ar-SA"/>
        </w:rPr>
        <w:fldChar w:fldCharType="end"/>
      </w:r>
    </w:p>
    <w:p>
      <w:pPr>
        <w:pStyle w:val="7"/>
        <w:tabs>
          <w:tab w:val="right" w:leader="dot" w:pos="8844"/>
        </w:tabs>
        <w:rPr>
          <w:rFonts w:eastAsia="宋体" w:asciiTheme="minorHAnsi" w:hAnsiTheme="minorHAnsi" w:cstheme="minorBidi"/>
          <w:kern w:val="2"/>
          <w:szCs w:val="24"/>
          <w:lang w:val="en-US" w:eastAsia="zh-CN" w:bidi="ar-SA"/>
        </w:rPr>
      </w:pPr>
      <w:r>
        <w:rPr>
          <w:rFonts w:hint="eastAsia" w:ascii="黑体" w:eastAsia="黑体" w:hAnsiTheme="minorHAnsi" w:cstheme="minorBidi"/>
          <w:kern w:val="2"/>
          <w:szCs w:val="32"/>
          <w:lang w:val="en-US" w:eastAsia="zh-CN" w:bidi="ar-SA"/>
        </w:rPr>
        <w:fldChar w:fldCharType="begin"/>
      </w:r>
      <w:r>
        <w:rPr>
          <w:rFonts w:hint="eastAsia" w:ascii="黑体" w:eastAsia="黑体" w:hAnsiTheme="minorHAnsi" w:cstheme="minorBidi"/>
          <w:kern w:val="2"/>
          <w:szCs w:val="32"/>
          <w:lang w:val="en-US" w:eastAsia="zh-CN" w:bidi="ar-SA"/>
        </w:rPr>
        <w:instrText xml:space="preserve"> HYPERLINK \l _Toc18790 </w:instrText>
      </w:r>
      <w:r>
        <w:rPr>
          <w:rFonts w:hint="eastAsia" w:ascii="黑体" w:eastAsia="黑体" w:hAnsiTheme="minorHAnsi" w:cstheme="minorBidi"/>
          <w:kern w:val="2"/>
          <w:szCs w:val="32"/>
          <w:lang w:val="en-US" w:eastAsia="zh-CN" w:bidi="ar-SA"/>
        </w:rPr>
        <w:fldChar w:fldCharType="separate"/>
      </w:r>
      <w:r>
        <w:rPr>
          <w:rFonts w:hint="eastAsia" w:eastAsia="宋体" w:asciiTheme="minorHAnsi" w:hAnsiTheme="minorHAnsi" w:cstheme="minorBidi"/>
          <w:kern w:val="2"/>
          <w:szCs w:val="24"/>
          <w:lang w:val="en-US" w:eastAsia="zh-CN" w:bidi="ar-SA"/>
        </w:rPr>
        <w:t>第二节　加快东部望花经济开发区建设</w:t>
      </w:r>
      <w:r>
        <w:rPr>
          <w:rFonts w:eastAsia="宋体" w:asciiTheme="minorHAnsi" w:hAnsiTheme="minorHAnsi" w:cstheme="minorBidi"/>
          <w:kern w:val="2"/>
          <w:szCs w:val="24"/>
          <w:lang w:val="en-US" w:eastAsia="zh-CN" w:bidi="ar-SA"/>
        </w:rPr>
        <w:tab/>
      </w:r>
      <w:r>
        <w:rPr>
          <w:rFonts w:eastAsia="宋体" w:asciiTheme="minorHAnsi" w:hAnsiTheme="minorHAnsi" w:cstheme="minorBidi"/>
          <w:kern w:val="2"/>
          <w:szCs w:val="24"/>
          <w:lang w:val="en-US" w:eastAsia="zh-CN" w:bidi="ar-SA"/>
        </w:rPr>
        <w:fldChar w:fldCharType="begin"/>
      </w:r>
      <w:r>
        <w:rPr>
          <w:rFonts w:eastAsia="宋体" w:asciiTheme="minorHAnsi" w:hAnsiTheme="minorHAnsi" w:cstheme="minorBidi"/>
          <w:kern w:val="2"/>
          <w:szCs w:val="24"/>
          <w:lang w:val="en-US" w:eastAsia="zh-CN" w:bidi="ar-SA"/>
        </w:rPr>
        <w:instrText xml:space="preserve"> PAGEREF _Toc18790 </w:instrText>
      </w:r>
      <w:r>
        <w:rPr>
          <w:rFonts w:eastAsia="宋体" w:asciiTheme="minorHAnsi" w:hAnsiTheme="minorHAnsi" w:cstheme="minorBidi"/>
          <w:kern w:val="2"/>
          <w:szCs w:val="24"/>
          <w:lang w:val="en-US" w:eastAsia="zh-CN" w:bidi="ar-SA"/>
        </w:rPr>
        <w:fldChar w:fldCharType="separate"/>
      </w:r>
      <w:r>
        <w:rPr>
          <w:rFonts w:eastAsia="宋体" w:asciiTheme="minorHAnsi" w:hAnsiTheme="minorHAnsi" w:cstheme="minorBidi"/>
          <w:kern w:val="2"/>
          <w:szCs w:val="24"/>
          <w:lang w:val="en-US" w:eastAsia="zh-CN" w:bidi="ar-SA"/>
        </w:rPr>
        <w:t>26</w:t>
      </w:r>
      <w:r>
        <w:rPr>
          <w:rFonts w:eastAsia="宋体" w:asciiTheme="minorHAnsi" w:hAnsiTheme="minorHAnsi" w:cstheme="minorBidi"/>
          <w:kern w:val="2"/>
          <w:szCs w:val="24"/>
          <w:lang w:val="en-US" w:eastAsia="zh-CN" w:bidi="ar-SA"/>
        </w:rPr>
        <w:fldChar w:fldCharType="end"/>
      </w:r>
      <w:r>
        <w:rPr>
          <w:rFonts w:hint="eastAsia" w:ascii="黑体" w:eastAsia="黑体" w:hAnsiTheme="minorHAnsi" w:cstheme="minorBidi"/>
          <w:kern w:val="2"/>
          <w:szCs w:val="32"/>
          <w:lang w:val="en-US" w:eastAsia="zh-CN" w:bidi="ar-SA"/>
        </w:rPr>
        <w:fldChar w:fldCharType="end"/>
      </w:r>
    </w:p>
    <w:p>
      <w:pPr>
        <w:pStyle w:val="7"/>
        <w:tabs>
          <w:tab w:val="right" w:leader="dot" w:pos="8844"/>
        </w:tabs>
        <w:rPr>
          <w:rFonts w:eastAsia="宋体" w:asciiTheme="minorHAnsi" w:hAnsiTheme="minorHAnsi" w:cstheme="minorBidi"/>
          <w:kern w:val="2"/>
          <w:szCs w:val="24"/>
          <w:lang w:val="en-US" w:eastAsia="zh-CN" w:bidi="ar-SA"/>
        </w:rPr>
      </w:pPr>
      <w:r>
        <w:rPr>
          <w:rFonts w:hint="eastAsia" w:ascii="黑体" w:eastAsia="黑体" w:hAnsiTheme="minorHAnsi" w:cstheme="minorBidi"/>
          <w:kern w:val="2"/>
          <w:szCs w:val="32"/>
          <w:lang w:val="en-US" w:eastAsia="zh-CN" w:bidi="ar-SA"/>
        </w:rPr>
        <w:fldChar w:fldCharType="begin"/>
      </w:r>
      <w:r>
        <w:rPr>
          <w:rFonts w:hint="eastAsia" w:ascii="黑体" w:eastAsia="黑体" w:hAnsiTheme="minorHAnsi" w:cstheme="minorBidi"/>
          <w:kern w:val="2"/>
          <w:szCs w:val="32"/>
          <w:lang w:val="en-US" w:eastAsia="zh-CN" w:bidi="ar-SA"/>
        </w:rPr>
        <w:instrText xml:space="preserve"> HYPERLINK \l _Toc13692 </w:instrText>
      </w:r>
      <w:r>
        <w:rPr>
          <w:rFonts w:hint="eastAsia" w:ascii="黑体" w:eastAsia="黑体" w:hAnsiTheme="minorHAnsi" w:cstheme="minorBidi"/>
          <w:kern w:val="2"/>
          <w:szCs w:val="32"/>
          <w:lang w:val="en-US" w:eastAsia="zh-CN" w:bidi="ar-SA"/>
        </w:rPr>
        <w:fldChar w:fldCharType="separate"/>
      </w:r>
      <w:r>
        <w:rPr>
          <w:rFonts w:hint="eastAsia" w:eastAsia="宋体" w:asciiTheme="minorHAnsi" w:hAnsiTheme="minorHAnsi" w:cstheme="minorBidi"/>
          <w:kern w:val="2"/>
          <w:szCs w:val="24"/>
          <w:lang w:val="en-US" w:eastAsia="zh-CN" w:bidi="ar-SA"/>
        </w:rPr>
        <w:t>第三节  加快西部现代服务业集聚区建设</w:t>
      </w:r>
      <w:r>
        <w:rPr>
          <w:rFonts w:eastAsia="宋体" w:asciiTheme="minorHAnsi" w:hAnsiTheme="minorHAnsi" w:cstheme="minorBidi"/>
          <w:kern w:val="2"/>
          <w:szCs w:val="24"/>
          <w:lang w:val="en-US" w:eastAsia="zh-CN" w:bidi="ar-SA"/>
        </w:rPr>
        <w:tab/>
      </w:r>
      <w:r>
        <w:rPr>
          <w:rFonts w:eastAsia="宋体" w:asciiTheme="minorHAnsi" w:hAnsiTheme="minorHAnsi" w:cstheme="minorBidi"/>
          <w:kern w:val="2"/>
          <w:szCs w:val="24"/>
          <w:lang w:val="en-US" w:eastAsia="zh-CN" w:bidi="ar-SA"/>
        </w:rPr>
        <w:fldChar w:fldCharType="begin"/>
      </w:r>
      <w:r>
        <w:rPr>
          <w:rFonts w:eastAsia="宋体" w:asciiTheme="minorHAnsi" w:hAnsiTheme="minorHAnsi" w:cstheme="minorBidi"/>
          <w:kern w:val="2"/>
          <w:szCs w:val="24"/>
          <w:lang w:val="en-US" w:eastAsia="zh-CN" w:bidi="ar-SA"/>
        </w:rPr>
        <w:instrText xml:space="preserve"> PAGEREF _Toc13692 </w:instrText>
      </w:r>
      <w:r>
        <w:rPr>
          <w:rFonts w:eastAsia="宋体" w:asciiTheme="minorHAnsi" w:hAnsiTheme="minorHAnsi" w:cstheme="minorBidi"/>
          <w:kern w:val="2"/>
          <w:szCs w:val="24"/>
          <w:lang w:val="en-US" w:eastAsia="zh-CN" w:bidi="ar-SA"/>
        </w:rPr>
        <w:fldChar w:fldCharType="separate"/>
      </w:r>
      <w:r>
        <w:rPr>
          <w:rFonts w:eastAsia="宋体" w:asciiTheme="minorHAnsi" w:hAnsiTheme="minorHAnsi" w:cstheme="minorBidi"/>
          <w:kern w:val="2"/>
          <w:szCs w:val="24"/>
          <w:lang w:val="en-US" w:eastAsia="zh-CN" w:bidi="ar-SA"/>
        </w:rPr>
        <w:t>28</w:t>
      </w:r>
      <w:r>
        <w:rPr>
          <w:rFonts w:eastAsia="宋体" w:asciiTheme="minorHAnsi" w:hAnsiTheme="minorHAnsi" w:cstheme="minorBidi"/>
          <w:kern w:val="2"/>
          <w:szCs w:val="24"/>
          <w:lang w:val="en-US" w:eastAsia="zh-CN" w:bidi="ar-SA"/>
        </w:rPr>
        <w:fldChar w:fldCharType="end"/>
      </w:r>
      <w:r>
        <w:rPr>
          <w:rFonts w:hint="eastAsia" w:ascii="黑体" w:eastAsia="黑体" w:hAnsiTheme="minorHAnsi" w:cstheme="minorBidi"/>
          <w:kern w:val="2"/>
          <w:szCs w:val="32"/>
          <w:lang w:val="en-US" w:eastAsia="zh-CN" w:bidi="ar-SA"/>
        </w:rPr>
        <w:fldChar w:fldCharType="end"/>
      </w:r>
    </w:p>
    <w:p>
      <w:pPr>
        <w:pStyle w:val="6"/>
        <w:tabs>
          <w:tab w:val="right" w:leader="dot" w:pos="8844"/>
        </w:tabs>
        <w:rPr>
          <w:rFonts w:eastAsia="宋体" w:asciiTheme="minorHAnsi" w:hAnsiTheme="minorHAnsi" w:cstheme="minorBidi"/>
          <w:kern w:val="2"/>
          <w:szCs w:val="24"/>
          <w:lang w:val="en-US" w:eastAsia="zh-CN" w:bidi="ar-SA"/>
        </w:rPr>
      </w:pPr>
      <w:r>
        <w:rPr>
          <w:rFonts w:hint="eastAsia" w:ascii="黑体" w:eastAsia="黑体" w:hAnsiTheme="minorHAnsi" w:cstheme="minorBidi"/>
          <w:kern w:val="2"/>
          <w:szCs w:val="32"/>
          <w:lang w:val="en-US" w:eastAsia="zh-CN" w:bidi="ar-SA"/>
        </w:rPr>
        <w:fldChar w:fldCharType="begin"/>
      </w:r>
      <w:r>
        <w:rPr>
          <w:rFonts w:hint="eastAsia" w:ascii="黑体" w:eastAsia="黑体" w:hAnsiTheme="minorHAnsi" w:cstheme="minorBidi"/>
          <w:kern w:val="2"/>
          <w:szCs w:val="32"/>
          <w:lang w:val="en-US" w:eastAsia="zh-CN" w:bidi="ar-SA"/>
        </w:rPr>
        <w:instrText xml:space="preserve"> HYPERLINK \l _Toc15030 </w:instrText>
      </w:r>
      <w:r>
        <w:rPr>
          <w:rFonts w:hint="eastAsia" w:ascii="黑体" w:eastAsia="黑体" w:hAnsiTheme="minorHAnsi" w:cstheme="minorBidi"/>
          <w:kern w:val="2"/>
          <w:szCs w:val="32"/>
          <w:lang w:val="en-US" w:eastAsia="zh-CN" w:bidi="ar-SA"/>
        </w:rPr>
        <w:fldChar w:fldCharType="separate"/>
      </w:r>
      <w:r>
        <w:rPr>
          <w:rFonts w:hint="eastAsia" w:eastAsia="宋体" w:asciiTheme="minorHAnsi" w:hAnsiTheme="minorHAnsi" w:cstheme="minorBidi"/>
          <w:kern w:val="2"/>
          <w:szCs w:val="24"/>
          <w:lang w:val="en-US" w:eastAsia="zh-CN" w:bidi="ar-SA"/>
        </w:rPr>
        <w:t>第五章  加快产业结构调整　促进经济转型升级</w:t>
      </w:r>
      <w:r>
        <w:rPr>
          <w:rFonts w:eastAsia="宋体" w:asciiTheme="minorHAnsi" w:hAnsiTheme="minorHAnsi" w:cstheme="minorBidi"/>
          <w:kern w:val="2"/>
          <w:szCs w:val="24"/>
          <w:lang w:val="en-US" w:eastAsia="zh-CN" w:bidi="ar-SA"/>
        </w:rPr>
        <w:tab/>
      </w:r>
      <w:r>
        <w:rPr>
          <w:rFonts w:eastAsia="宋体" w:asciiTheme="minorHAnsi" w:hAnsiTheme="minorHAnsi" w:cstheme="minorBidi"/>
          <w:kern w:val="2"/>
          <w:szCs w:val="24"/>
          <w:lang w:val="en-US" w:eastAsia="zh-CN" w:bidi="ar-SA"/>
        </w:rPr>
        <w:fldChar w:fldCharType="begin"/>
      </w:r>
      <w:r>
        <w:rPr>
          <w:rFonts w:eastAsia="宋体" w:asciiTheme="minorHAnsi" w:hAnsiTheme="minorHAnsi" w:cstheme="minorBidi"/>
          <w:kern w:val="2"/>
          <w:szCs w:val="24"/>
          <w:lang w:val="en-US" w:eastAsia="zh-CN" w:bidi="ar-SA"/>
        </w:rPr>
        <w:instrText xml:space="preserve"> PAGEREF _Toc15030 </w:instrText>
      </w:r>
      <w:r>
        <w:rPr>
          <w:rFonts w:eastAsia="宋体" w:asciiTheme="minorHAnsi" w:hAnsiTheme="minorHAnsi" w:cstheme="minorBidi"/>
          <w:kern w:val="2"/>
          <w:szCs w:val="24"/>
          <w:lang w:val="en-US" w:eastAsia="zh-CN" w:bidi="ar-SA"/>
        </w:rPr>
        <w:fldChar w:fldCharType="separate"/>
      </w:r>
      <w:r>
        <w:rPr>
          <w:rFonts w:eastAsia="宋体" w:asciiTheme="minorHAnsi" w:hAnsiTheme="minorHAnsi" w:cstheme="minorBidi"/>
          <w:kern w:val="2"/>
          <w:szCs w:val="24"/>
          <w:lang w:val="en-US" w:eastAsia="zh-CN" w:bidi="ar-SA"/>
        </w:rPr>
        <w:t>31</w:t>
      </w:r>
      <w:r>
        <w:rPr>
          <w:rFonts w:eastAsia="宋体" w:asciiTheme="minorHAnsi" w:hAnsiTheme="minorHAnsi" w:cstheme="minorBidi"/>
          <w:kern w:val="2"/>
          <w:szCs w:val="24"/>
          <w:lang w:val="en-US" w:eastAsia="zh-CN" w:bidi="ar-SA"/>
        </w:rPr>
        <w:fldChar w:fldCharType="end"/>
      </w:r>
      <w:r>
        <w:rPr>
          <w:rFonts w:hint="eastAsia" w:ascii="黑体" w:eastAsia="黑体" w:hAnsiTheme="minorHAnsi" w:cstheme="minorBidi"/>
          <w:kern w:val="2"/>
          <w:szCs w:val="32"/>
          <w:lang w:val="en-US" w:eastAsia="zh-CN" w:bidi="ar-SA"/>
        </w:rPr>
        <w:fldChar w:fldCharType="end"/>
      </w:r>
    </w:p>
    <w:p>
      <w:pPr>
        <w:pStyle w:val="7"/>
        <w:tabs>
          <w:tab w:val="right" w:leader="dot" w:pos="8844"/>
        </w:tabs>
        <w:rPr>
          <w:rFonts w:eastAsia="宋体" w:asciiTheme="minorHAnsi" w:hAnsiTheme="minorHAnsi" w:cstheme="minorBidi"/>
          <w:kern w:val="2"/>
          <w:szCs w:val="24"/>
          <w:lang w:val="en-US" w:eastAsia="zh-CN" w:bidi="ar-SA"/>
        </w:rPr>
      </w:pPr>
      <w:r>
        <w:rPr>
          <w:rFonts w:hint="eastAsia" w:ascii="黑体" w:eastAsia="黑体" w:hAnsiTheme="minorHAnsi" w:cstheme="minorBidi"/>
          <w:kern w:val="2"/>
          <w:szCs w:val="32"/>
          <w:lang w:val="en-US" w:eastAsia="zh-CN" w:bidi="ar-SA"/>
        </w:rPr>
        <w:fldChar w:fldCharType="begin"/>
      </w:r>
      <w:r>
        <w:rPr>
          <w:rFonts w:hint="eastAsia" w:ascii="黑体" w:eastAsia="黑体" w:hAnsiTheme="minorHAnsi" w:cstheme="minorBidi"/>
          <w:kern w:val="2"/>
          <w:szCs w:val="32"/>
          <w:lang w:val="en-US" w:eastAsia="zh-CN" w:bidi="ar-SA"/>
        </w:rPr>
        <w:instrText xml:space="preserve"> HYPERLINK \l _Toc13320 </w:instrText>
      </w:r>
      <w:r>
        <w:rPr>
          <w:rFonts w:hint="eastAsia" w:ascii="黑体" w:eastAsia="黑体" w:hAnsiTheme="minorHAnsi" w:cstheme="minorBidi"/>
          <w:kern w:val="2"/>
          <w:szCs w:val="32"/>
          <w:lang w:val="en-US" w:eastAsia="zh-CN" w:bidi="ar-SA"/>
        </w:rPr>
        <w:fldChar w:fldCharType="separate"/>
      </w:r>
      <w:r>
        <w:rPr>
          <w:rFonts w:hint="eastAsia" w:eastAsia="宋体" w:asciiTheme="minorHAnsi" w:hAnsiTheme="minorHAnsi" w:cstheme="minorBidi"/>
          <w:kern w:val="2"/>
          <w:szCs w:val="24"/>
          <w:lang w:val="en-US" w:eastAsia="zh-CN" w:bidi="ar-SA"/>
        </w:rPr>
        <w:t>第一节　加快服务业大发展</w:t>
      </w:r>
      <w:r>
        <w:rPr>
          <w:rFonts w:eastAsia="宋体" w:asciiTheme="minorHAnsi" w:hAnsiTheme="minorHAnsi" w:cstheme="minorBidi"/>
          <w:kern w:val="2"/>
          <w:szCs w:val="24"/>
          <w:lang w:val="en-US" w:eastAsia="zh-CN" w:bidi="ar-SA"/>
        </w:rPr>
        <w:tab/>
      </w:r>
      <w:r>
        <w:rPr>
          <w:rFonts w:eastAsia="宋体" w:asciiTheme="minorHAnsi" w:hAnsiTheme="minorHAnsi" w:cstheme="minorBidi"/>
          <w:kern w:val="2"/>
          <w:szCs w:val="24"/>
          <w:lang w:val="en-US" w:eastAsia="zh-CN" w:bidi="ar-SA"/>
        </w:rPr>
        <w:fldChar w:fldCharType="begin"/>
      </w:r>
      <w:r>
        <w:rPr>
          <w:rFonts w:eastAsia="宋体" w:asciiTheme="minorHAnsi" w:hAnsiTheme="minorHAnsi" w:cstheme="minorBidi"/>
          <w:kern w:val="2"/>
          <w:szCs w:val="24"/>
          <w:lang w:val="en-US" w:eastAsia="zh-CN" w:bidi="ar-SA"/>
        </w:rPr>
        <w:instrText xml:space="preserve"> PAGEREF _Toc13320 </w:instrText>
      </w:r>
      <w:r>
        <w:rPr>
          <w:rFonts w:eastAsia="宋体" w:asciiTheme="minorHAnsi" w:hAnsiTheme="minorHAnsi" w:cstheme="minorBidi"/>
          <w:kern w:val="2"/>
          <w:szCs w:val="24"/>
          <w:lang w:val="en-US" w:eastAsia="zh-CN" w:bidi="ar-SA"/>
        </w:rPr>
        <w:fldChar w:fldCharType="separate"/>
      </w:r>
      <w:r>
        <w:rPr>
          <w:rFonts w:eastAsia="宋体" w:asciiTheme="minorHAnsi" w:hAnsiTheme="minorHAnsi" w:cstheme="minorBidi"/>
          <w:kern w:val="2"/>
          <w:szCs w:val="24"/>
          <w:lang w:val="en-US" w:eastAsia="zh-CN" w:bidi="ar-SA"/>
        </w:rPr>
        <w:t>31</w:t>
      </w:r>
      <w:r>
        <w:rPr>
          <w:rFonts w:eastAsia="宋体" w:asciiTheme="minorHAnsi" w:hAnsiTheme="minorHAnsi" w:cstheme="minorBidi"/>
          <w:kern w:val="2"/>
          <w:szCs w:val="24"/>
          <w:lang w:val="en-US" w:eastAsia="zh-CN" w:bidi="ar-SA"/>
        </w:rPr>
        <w:fldChar w:fldCharType="end"/>
      </w:r>
      <w:r>
        <w:rPr>
          <w:rFonts w:hint="eastAsia" w:ascii="黑体" w:eastAsia="黑体" w:hAnsiTheme="minorHAnsi" w:cstheme="minorBidi"/>
          <w:kern w:val="2"/>
          <w:szCs w:val="32"/>
          <w:lang w:val="en-US" w:eastAsia="zh-CN" w:bidi="ar-SA"/>
        </w:rPr>
        <w:fldChar w:fldCharType="end"/>
      </w:r>
    </w:p>
    <w:p>
      <w:pPr>
        <w:pStyle w:val="7"/>
        <w:tabs>
          <w:tab w:val="right" w:leader="dot" w:pos="8844"/>
        </w:tabs>
        <w:rPr>
          <w:rFonts w:eastAsia="宋体" w:asciiTheme="minorHAnsi" w:hAnsiTheme="minorHAnsi" w:cstheme="minorBidi"/>
          <w:kern w:val="2"/>
          <w:szCs w:val="24"/>
          <w:lang w:val="en-US" w:eastAsia="zh-CN" w:bidi="ar-SA"/>
        </w:rPr>
      </w:pPr>
      <w:r>
        <w:rPr>
          <w:rFonts w:hint="eastAsia" w:ascii="黑体" w:eastAsia="黑体" w:hAnsiTheme="minorHAnsi" w:cstheme="minorBidi"/>
          <w:kern w:val="2"/>
          <w:szCs w:val="32"/>
          <w:lang w:val="en-US" w:eastAsia="zh-CN" w:bidi="ar-SA"/>
        </w:rPr>
        <w:fldChar w:fldCharType="begin"/>
      </w:r>
      <w:r>
        <w:rPr>
          <w:rFonts w:hint="eastAsia" w:ascii="黑体" w:eastAsia="黑体" w:hAnsiTheme="minorHAnsi" w:cstheme="minorBidi"/>
          <w:kern w:val="2"/>
          <w:szCs w:val="32"/>
          <w:lang w:val="en-US" w:eastAsia="zh-CN" w:bidi="ar-SA"/>
        </w:rPr>
        <w:instrText xml:space="preserve"> HYPERLINK \l _Toc15553 </w:instrText>
      </w:r>
      <w:r>
        <w:rPr>
          <w:rFonts w:hint="eastAsia" w:ascii="黑体" w:eastAsia="黑体" w:hAnsiTheme="minorHAnsi" w:cstheme="minorBidi"/>
          <w:kern w:val="2"/>
          <w:szCs w:val="32"/>
          <w:lang w:val="en-US" w:eastAsia="zh-CN" w:bidi="ar-SA"/>
        </w:rPr>
        <w:fldChar w:fldCharType="separate"/>
      </w:r>
      <w:r>
        <w:rPr>
          <w:rFonts w:hint="eastAsia" w:eastAsia="宋体" w:asciiTheme="minorHAnsi" w:hAnsiTheme="minorHAnsi" w:cstheme="minorBidi"/>
          <w:kern w:val="2"/>
          <w:szCs w:val="24"/>
          <w:lang w:val="en-US" w:eastAsia="zh-CN" w:bidi="ar-SA"/>
        </w:rPr>
        <w:t>第二节　打造现代工业发展体系</w:t>
      </w:r>
      <w:bookmarkStart w:id="43" w:name="_GoBack"/>
      <w:bookmarkEnd w:id="43"/>
      <w:r>
        <w:rPr>
          <w:rFonts w:eastAsia="宋体" w:asciiTheme="minorHAnsi" w:hAnsiTheme="minorHAnsi" w:cstheme="minorBidi"/>
          <w:kern w:val="2"/>
          <w:szCs w:val="24"/>
          <w:lang w:val="en-US" w:eastAsia="zh-CN" w:bidi="ar-SA"/>
        </w:rPr>
        <w:tab/>
      </w:r>
      <w:r>
        <w:rPr>
          <w:rFonts w:eastAsia="宋体" w:asciiTheme="minorHAnsi" w:hAnsiTheme="minorHAnsi" w:cstheme="minorBidi"/>
          <w:kern w:val="2"/>
          <w:szCs w:val="24"/>
          <w:lang w:val="en-US" w:eastAsia="zh-CN" w:bidi="ar-SA"/>
        </w:rPr>
        <w:fldChar w:fldCharType="begin"/>
      </w:r>
      <w:r>
        <w:rPr>
          <w:rFonts w:eastAsia="宋体" w:asciiTheme="minorHAnsi" w:hAnsiTheme="minorHAnsi" w:cstheme="minorBidi"/>
          <w:kern w:val="2"/>
          <w:szCs w:val="24"/>
          <w:lang w:val="en-US" w:eastAsia="zh-CN" w:bidi="ar-SA"/>
        </w:rPr>
        <w:instrText xml:space="preserve"> PAGEREF _Toc15553 </w:instrText>
      </w:r>
      <w:r>
        <w:rPr>
          <w:rFonts w:eastAsia="宋体" w:asciiTheme="minorHAnsi" w:hAnsiTheme="minorHAnsi" w:cstheme="minorBidi"/>
          <w:kern w:val="2"/>
          <w:szCs w:val="24"/>
          <w:lang w:val="en-US" w:eastAsia="zh-CN" w:bidi="ar-SA"/>
        </w:rPr>
        <w:fldChar w:fldCharType="separate"/>
      </w:r>
      <w:r>
        <w:rPr>
          <w:rFonts w:eastAsia="宋体" w:asciiTheme="minorHAnsi" w:hAnsiTheme="minorHAnsi" w:cstheme="minorBidi"/>
          <w:kern w:val="2"/>
          <w:szCs w:val="24"/>
          <w:lang w:val="en-US" w:eastAsia="zh-CN" w:bidi="ar-SA"/>
        </w:rPr>
        <w:t>36</w:t>
      </w:r>
      <w:r>
        <w:rPr>
          <w:rFonts w:eastAsia="宋体" w:asciiTheme="minorHAnsi" w:hAnsiTheme="minorHAnsi" w:cstheme="minorBidi"/>
          <w:kern w:val="2"/>
          <w:szCs w:val="24"/>
          <w:lang w:val="en-US" w:eastAsia="zh-CN" w:bidi="ar-SA"/>
        </w:rPr>
        <w:fldChar w:fldCharType="end"/>
      </w:r>
      <w:r>
        <w:rPr>
          <w:rFonts w:hint="eastAsia" w:ascii="黑体" w:eastAsia="黑体" w:hAnsiTheme="minorHAnsi" w:cstheme="minorBidi"/>
          <w:kern w:val="2"/>
          <w:szCs w:val="32"/>
          <w:lang w:val="en-US" w:eastAsia="zh-CN" w:bidi="ar-SA"/>
        </w:rPr>
        <w:fldChar w:fldCharType="end"/>
      </w:r>
    </w:p>
    <w:p>
      <w:pPr>
        <w:pStyle w:val="7"/>
        <w:tabs>
          <w:tab w:val="right" w:leader="dot" w:pos="8844"/>
        </w:tabs>
        <w:rPr>
          <w:rFonts w:eastAsia="宋体" w:asciiTheme="minorHAnsi" w:hAnsiTheme="minorHAnsi" w:cstheme="minorBidi"/>
          <w:kern w:val="2"/>
          <w:szCs w:val="24"/>
          <w:lang w:val="en-US" w:eastAsia="zh-CN" w:bidi="ar-SA"/>
        </w:rPr>
      </w:pPr>
      <w:r>
        <w:rPr>
          <w:rFonts w:hint="eastAsia" w:ascii="黑体" w:eastAsia="黑体" w:hAnsiTheme="minorHAnsi" w:cstheme="minorBidi"/>
          <w:kern w:val="2"/>
          <w:szCs w:val="32"/>
          <w:lang w:val="en-US" w:eastAsia="zh-CN" w:bidi="ar-SA"/>
        </w:rPr>
        <w:fldChar w:fldCharType="begin"/>
      </w:r>
      <w:r>
        <w:rPr>
          <w:rFonts w:hint="eastAsia" w:ascii="黑体" w:eastAsia="黑体" w:hAnsiTheme="minorHAnsi" w:cstheme="minorBidi"/>
          <w:kern w:val="2"/>
          <w:szCs w:val="32"/>
          <w:lang w:val="en-US" w:eastAsia="zh-CN" w:bidi="ar-SA"/>
        </w:rPr>
        <w:instrText xml:space="preserve"> HYPERLINK \l _Toc21879 </w:instrText>
      </w:r>
      <w:r>
        <w:rPr>
          <w:rFonts w:hint="eastAsia" w:ascii="黑体" w:eastAsia="黑体" w:hAnsiTheme="minorHAnsi" w:cstheme="minorBidi"/>
          <w:kern w:val="2"/>
          <w:szCs w:val="32"/>
          <w:lang w:val="en-US" w:eastAsia="zh-CN" w:bidi="ar-SA"/>
        </w:rPr>
        <w:fldChar w:fldCharType="separate"/>
      </w:r>
      <w:r>
        <w:rPr>
          <w:rFonts w:hint="eastAsia" w:eastAsia="宋体" w:asciiTheme="minorHAnsi" w:hAnsiTheme="minorHAnsi" w:cstheme="minorBidi"/>
          <w:kern w:val="2"/>
          <w:szCs w:val="24"/>
          <w:lang w:val="en-US" w:eastAsia="zh-CN" w:bidi="ar-SA"/>
        </w:rPr>
        <w:t>第三节  提升现代农业发展水平</w:t>
      </w:r>
      <w:r>
        <w:rPr>
          <w:rFonts w:eastAsia="宋体" w:asciiTheme="minorHAnsi" w:hAnsiTheme="minorHAnsi" w:cstheme="minorBidi"/>
          <w:kern w:val="2"/>
          <w:szCs w:val="24"/>
          <w:lang w:val="en-US" w:eastAsia="zh-CN" w:bidi="ar-SA"/>
        </w:rPr>
        <w:tab/>
      </w:r>
      <w:r>
        <w:rPr>
          <w:rFonts w:eastAsia="宋体" w:asciiTheme="minorHAnsi" w:hAnsiTheme="minorHAnsi" w:cstheme="minorBidi"/>
          <w:kern w:val="2"/>
          <w:szCs w:val="24"/>
          <w:lang w:val="en-US" w:eastAsia="zh-CN" w:bidi="ar-SA"/>
        </w:rPr>
        <w:fldChar w:fldCharType="begin"/>
      </w:r>
      <w:r>
        <w:rPr>
          <w:rFonts w:eastAsia="宋体" w:asciiTheme="minorHAnsi" w:hAnsiTheme="minorHAnsi" w:cstheme="minorBidi"/>
          <w:kern w:val="2"/>
          <w:szCs w:val="24"/>
          <w:lang w:val="en-US" w:eastAsia="zh-CN" w:bidi="ar-SA"/>
        </w:rPr>
        <w:instrText xml:space="preserve"> PAGEREF _Toc21879 </w:instrText>
      </w:r>
      <w:r>
        <w:rPr>
          <w:rFonts w:eastAsia="宋体" w:asciiTheme="minorHAnsi" w:hAnsiTheme="minorHAnsi" w:cstheme="minorBidi"/>
          <w:kern w:val="2"/>
          <w:szCs w:val="24"/>
          <w:lang w:val="en-US" w:eastAsia="zh-CN" w:bidi="ar-SA"/>
        </w:rPr>
        <w:fldChar w:fldCharType="separate"/>
      </w:r>
      <w:r>
        <w:rPr>
          <w:rFonts w:eastAsia="宋体" w:asciiTheme="minorHAnsi" w:hAnsiTheme="minorHAnsi" w:cstheme="minorBidi"/>
          <w:kern w:val="2"/>
          <w:szCs w:val="24"/>
          <w:lang w:val="en-US" w:eastAsia="zh-CN" w:bidi="ar-SA"/>
        </w:rPr>
        <w:t>39</w:t>
      </w:r>
      <w:r>
        <w:rPr>
          <w:rFonts w:eastAsia="宋体" w:asciiTheme="minorHAnsi" w:hAnsiTheme="minorHAnsi" w:cstheme="minorBidi"/>
          <w:kern w:val="2"/>
          <w:szCs w:val="24"/>
          <w:lang w:val="en-US" w:eastAsia="zh-CN" w:bidi="ar-SA"/>
        </w:rPr>
        <w:fldChar w:fldCharType="end"/>
      </w:r>
      <w:r>
        <w:rPr>
          <w:rFonts w:hint="eastAsia" w:ascii="黑体" w:eastAsia="黑体" w:hAnsiTheme="minorHAnsi" w:cstheme="minorBidi"/>
          <w:kern w:val="2"/>
          <w:szCs w:val="32"/>
          <w:lang w:val="en-US" w:eastAsia="zh-CN" w:bidi="ar-SA"/>
        </w:rPr>
        <w:fldChar w:fldCharType="end"/>
      </w:r>
    </w:p>
    <w:p>
      <w:pPr>
        <w:pStyle w:val="6"/>
        <w:tabs>
          <w:tab w:val="right" w:leader="dot" w:pos="8844"/>
        </w:tabs>
        <w:rPr>
          <w:rFonts w:eastAsia="宋体" w:asciiTheme="minorHAnsi" w:hAnsiTheme="minorHAnsi" w:cstheme="minorBidi"/>
          <w:kern w:val="2"/>
          <w:szCs w:val="24"/>
          <w:lang w:val="en-US" w:eastAsia="zh-CN" w:bidi="ar-SA"/>
        </w:rPr>
      </w:pPr>
      <w:r>
        <w:rPr>
          <w:rFonts w:hint="eastAsia" w:ascii="黑体" w:eastAsia="黑体" w:hAnsiTheme="minorHAnsi" w:cstheme="minorBidi"/>
          <w:kern w:val="2"/>
          <w:szCs w:val="32"/>
          <w:lang w:val="en-US" w:eastAsia="zh-CN" w:bidi="ar-SA"/>
        </w:rPr>
        <w:fldChar w:fldCharType="begin"/>
      </w:r>
      <w:r>
        <w:rPr>
          <w:rFonts w:hint="eastAsia" w:ascii="黑体" w:eastAsia="黑体" w:hAnsiTheme="minorHAnsi" w:cstheme="minorBidi"/>
          <w:kern w:val="2"/>
          <w:szCs w:val="32"/>
          <w:lang w:val="en-US" w:eastAsia="zh-CN" w:bidi="ar-SA"/>
        </w:rPr>
        <w:instrText xml:space="preserve"> HYPERLINK \l _Toc32738 </w:instrText>
      </w:r>
      <w:r>
        <w:rPr>
          <w:rFonts w:hint="eastAsia" w:ascii="黑体" w:eastAsia="黑体" w:hAnsiTheme="minorHAnsi" w:cstheme="minorBidi"/>
          <w:kern w:val="2"/>
          <w:szCs w:val="32"/>
          <w:lang w:val="en-US" w:eastAsia="zh-CN" w:bidi="ar-SA"/>
        </w:rPr>
        <w:fldChar w:fldCharType="separate"/>
      </w:r>
      <w:r>
        <w:rPr>
          <w:rFonts w:hint="eastAsia" w:eastAsia="宋体" w:asciiTheme="minorHAnsi" w:hAnsiTheme="minorHAnsi" w:cstheme="minorBidi"/>
          <w:kern w:val="2"/>
          <w:szCs w:val="24"/>
          <w:lang w:val="en-US" w:eastAsia="zh-CN" w:bidi="ar-SA"/>
        </w:rPr>
        <w:t>第六章  保障和改善民生　创造人民美好生活</w:t>
      </w:r>
      <w:r>
        <w:rPr>
          <w:rFonts w:eastAsia="宋体" w:asciiTheme="minorHAnsi" w:hAnsiTheme="minorHAnsi" w:cstheme="minorBidi"/>
          <w:kern w:val="2"/>
          <w:szCs w:val="24"/>
          <w:lang w:val="en-US" w:eastAsia="zh-CN" w:bidi="ar-SA"/>
        </w:rPr>
        <w:tab/>
      </w:r>
      <w:r>
        <w:rPr>
          <w:rFonts w:eastAsia="宋体" w:asciiTheme="minorHAnsi" w:hAnsiTheme="minorHAnsi" w:cstheme="minorBidi"/>
          <w:kern w:val="2"/>
          <w:szCs w:val="24"/>
          <w:lang w:val="en-US" w:eastAsia="zh-CN" w:bidi="ar-SA"/>
        </w:rPr>
        <w:fldChar w:fldCharType="begin"/>
      </w:r>
      <w:r>
        <w:rPr>
          <w:rFonts w:eastAsia="宋体" w:asciiTheme="minorHAnsi" w:hAnsiTheme="minorHAnsi" w:cstheme="minorBidi"/>
          <w:kern w:val="2"/>
          <w:szCs w:val="24"/>
          <w:lang w:val="en-US" w:eastAsia="zh-CN" w:bidi="ar-SA"/>
        </w:rPr>
        <w:instrText xml:space="preserve"> PAGEREF _Toc32738 </w:instrText>
      </w:r>
      <w:r>
        <w:rPr>
          <w:rFonts w:eastAsia="宋体" w:asciiTheme="minorHAnsi" w:hAnsiTheme="minorHAnsi" w:cstheme="minorBidi"/>
          <w:kern w:val="2"/>
          <w:szCs w:val="24"/>
          <w:lang w:val="en-US" w:eastAsia="zh-CN" w:bidi="ar-SA"/>
        </w:rPr>
        <w:fldChar w:fldCharType="separate"/>
      </w:r>
      <w:r>
        <w:rPr>
          <w:rFonts w:eastAsia="宋体" w:asciiTheme="minorHAnsi" w:hAnsiTheme="minorHAnsi" w:cstheme="minorBidi"/>
          <w:kern w:val="2"/>
          <w:szCs w:val="24"/>
          <w:lang w:val="en-US" w:eastAsia="zh-CN" w:bidi="ar-SA"/>
        </w:rPr>
        <w:t>42</w:t>
      </w:r>
      <w:r>
        <w:rPr>
          <w:rFonts w:eastAsia="宋体" w:asciiTheme="minorHAnsi" w:hAnsiTheme="minorHAnsi" w:cstheme="minorBidi"/>
          <w:kern w:val="2"/>
          <w:szCs w:val="24"/>
          <w:lang w:val="en-US" w:eastAsia="zh-CN" w:bidi="ar-SA"/>
        </w:rPr>
        <w:fldChar w:fldCharType="end"/>
      </w:r>
      <w:r>
        <w:rPr>
          <w:rFonts w:hint="eastAsia" w:ascii="黑体" w:eastAsia="黑体" w:hAnsiTheme="minorHAnsi" w:cstheme="minorBidi"/>
          <w:kern w:val="2"/>
          <w:szCs w:val="32"/>
          <w:lang w:val="en-US" w:eastAsia="zh-CN" w:bidi="ar-SA"/>
        </w:rPr>
        <w:fldChar w:fldCharType="end"/>
      </w:r>
    </w:p>
    <w:p>
      <w:pPr>
        <w:pStyle w:val="7"/>
        <w:tabs>
          <w:tab w:val="right" w:leader="dot" w:pos="8844"/>
        </w:tabs>
        <w:rPr>
          <w:rFonts w:eastAsia="宋体" w:asciiTheme="minorHAnsi" w:hAnsiTheme="minorHAnsi" w:cstheme="minorBidi"/>
          <w:kern w:val="2"/>
          <w:szCs w:val="24"/>
          <w:lang w:val="en-US" w:eastAsia="zh-CN" w:bidi="ar-SA"/>
        </w:rPr>
      </w:pPr>
      <w:r>
        <w:rPr>
          <w:rFonts w:hint="eastAsia" w:ascii="黑体" w:eastAsia="黑体" w:hAnsiTheme="minorHAnsi" w:cstheme="minorBidi"/>
          <w:kern w:val="2"/>
          <w:szCs w:val="32"/>
          <w:lang w:val="en-US" w:eastAsia="zh-CN" w:bidi="ar-SA"/>
        </w:rPr>
        <w:fldChar w:fldCharType="begin"/>
      </w:r>
      <w:r>
        <w:rPr>
          <w:rFonts w:hint="eastAsia" w:ascii="黑体" w:eastAsia="黑体" w:hAnsiTheme="minorHAnsi" w:cstheme="minorBidi"/>
          <w:kern w:val="2"/>
          <w:szCs w:val="32"/>
          <w:lang w:val="en-US" w:eastAsia="zh-CN" w:bidi="ar-SA"/>
        </w:rPr>
        <w:instrText xml:space="preserve"> HYPERLINK \l _Toc15216 </w:instrText>
      </w:r>
      <w:r>
        <w:rPr>
          <w:rFonts w:hint="eastAsia" w:ascii="黑体" w:eastAsia="黑体" w:hAnsiTheme="minorHAnsi" w:cstheme="minorBidi"/>
          <w:kern w:val="2"/>
          <w:szCs w:val="32"/>
          <w:lang w:val="en-US" w:eastAsia="zh-CN" w:bidi="ar-SA"/>
        </w:rPr>
        <w:fldChar w:fldCharType="separate"/>
      </w:r>
      <w:r>
        <w:rPr>
          <w:rFonts w:hint="eastAsia" w:eastAsia="宋体" w:asciiTheme="minorHAnsi" w:hAnsiTheme="minorHAnsi" w:cstheme="minorBidi"/>
          <w:kern w:val="2"/>
          <w:szCs w:val="24"/>
          <w:lang w:val="en-US" w:eastAsia="zh-CN" w:bidi="ar-SA"/>
        </w:rPr>
        <w:t>第一节　加大精准扶贫开发力度</w:t>
      </w:r>
      <w:r>
        <w:rPr>
          <w:rFonts w:eastAsia="宋体" w:asciiTheme="minorHAnsi" w:hAnsiTheme="minorHAnsi" w:cstheme="minorBidi"/>
          <w:kern w:val="2"/>
          <w:szCs w:val="24"/>
          <w:lang w:val="en-US" w:eastAsia="zh-CN" w:bidi="ar-SA"/>
        </w:rPr>
        <w:tab/>
      </w:r>
      <w:r>
        <w:rPr>
          <w:rFonts w:eastAsia="宋体" w:asciiTheme="minorHAnsi" w:hAnsiTheme="minorHAnsi" w:cstheme="minorBidi"/>
          <w:kern w:val="2"/>
          <w:szCs w:val="24"/>
          <w:lang w:val="en-US" w:eastAsia="zh-CN" w:bidi="ar-SA"/>
        </w:rPr>
        <w:fldChar w:fldCharType="begin"/>
      </w:r>
      <w:r>
        <w:rPr>
          <w:rFonts w:eastAsia="宋体" w:asciiTheme="minorHAnsi" w:hAnsiTheme="minorHAnsi" w:cstheme="minorBidi"/>
          <w:kern w:val="2"/>
          <w:szCs w:val="24"/>
          <w:lang w:val="en-US" w:eastAsia="zh-CN" w:bidi="ar-SA"/>
        </w:rPr>
        <w:instrText xml:space="preserve"> PAGEREF _Toc15216 </w:instrText>
      </w:r>
      <w:r>
        <w:rPr>
          <w:rFonts w:eastAsia="宋体" w:asciiTheme="minorHAnsi" w:hAnsiTheme="minorHAnsi" w:cstheme="minorBidi"/>
          <w:kern w:val="2"/>
          <w:szCs w:val="24"/>
          <w:lang w:val="en-US" w:eastAsia="zh-CN" w:bidi="ar-SA"/>
        </w:rPr>
        <w:fldChar w:fldCharType="separate"/>
      </w:r>
      <w:r>
        <w:rPr>
          <w:rFonts w:eastAsia="宋体" w:asciiTheme="minorHAnsi" w:hAnsiTheme="minorHAnsi" w:cstheme="minorBidi"/>
          <w:kern w:val="2"/>
          <w:szCs w:val="24"/>
          <w:lang w:val="en-US" w:eastAsia="zh-CN" w:bidi="ar-SA"/>
        </w:rPr>
        <w:t>42</w:t>
      </w:r>
      <w:r>
        <w:rPr>
          <w:rFonts w:eastAsia="宋体" w:asciiTheme="minorHAnsi" w:hAnsiTheme="minorHAnsi" w:cstheme="minorBidi"/>
          <w:kern w:val="2"/>
          <w:szCs w:val="24"/>
          <w:lang w:val="en-US" w:eastAsia="zh-CN" w:bidi="ar-SA"/>
        </w:rPr>
        <w:fldChar w:fldCharType="end"/>
      </w:r>
      <w:r>
        <w:rPr>
          <w:rFonts w:hint="eastAsia" w:ascii="黑体" w:eastAsia="黑体" w:hAnsiTheme="minorHAnsi" w:cstheme="minorBidi"/>
          <w:kern w:val="2"/>
          <w:szCs w:val="32"/>
          <w:lang w:val="en-US" w:eastAsia="zh-CN" w:bidi="ar-SA"/>
        </w:rPr>
        <w:fldChar w:fldCharType="end"/>
      </w:r>
    </w:p>
    <w:p>
      <w:pPr>
        <w:pStyle w:val="7"/>
        <w:tabs>
          <w:tab w:val="right" w:leader="dot" w:pos="8844"/>
        </w:tabs>
        <w:rPr>
          <w:rFonts w:eastAsia="宋体" w:asciiTheme="minorHAnsi" w:hAnsiTheme="minorHAnsi" w:cstheme="minorBidi"/>
          <w:kern w:val="2"/>
          <w:szCs w:val="24"/>
          <w:lang w:val="en-US" w:eastAsia="zh-CN" w:bidi="ar-SA"/>
        </w:rPr>
      </w:pPr>
      <w:r>
        <w:rPr>
          <w:rFonts w:hint="eastAsia" w:ascii="黑体" w:eastAsia="黑体" w:hAnsiTheme="minorHAnsi" w:cstheme="minorBidi"/>
          <w:kern w:val="2"/>
          <w:szCs w:val="32"/>
          <w:lang w:val="en-US" w:eastAsia="zh-CN" w:bidi="ar-SA"/>
        </w:rPr>
        <w:fldChar w:fldCharType="begin"/>
      </w:r>
      <w:r>
        <w:rPr>
          <w:rFonts w:hint="eastAsia" w:ascii="黑体" w:eastAsia="黑体" w:hAnsiTheme="minorHAnsi" w:cstheme="minorBidi"/>
          <w:kern w:val="2"/>
          <w:szCs w:val="32"/>
          <w:lang w:val="en-US" w:eastAsia="zh-CN" w:bidi="ar-SA"/>
        </w:rPr>
        <w:instrText xml:space="preserve"> HYPERLINK \l _Toc20236 </w:instrText>
      </w:r>
      <w:r>
        <w:rPr>
          <w:rFonts w:hint="eastAsia" w:ascii="黑体" w:eastAsia="黑体" w:hAnsiTheme="minorHAnsi" w:cstheme="minorBidi"/>
          <w:kern w:val="2"/>
          <w:szCs w:val="32"/>
          <w:lang w:val="en-US" w:eastAsia="zh-CN" w:bidi="ar-SA"/>
        </w:rPr>
        <w:fldChar w:fldCharType="separate"/>
      </w:r>
      <w:r>
        <w:rPr>
          <w:rFonts w:hint="eastAsia" w:eastAsia="宋体" w:asciiTheme="minorHAnsi" w:hAnsiTheme="minorHAnsi" w:cstheme="minorBidi"/>
          <w:kern w:val="2"/>
          <w:szCs w:val="24"/>
          <w:lang w:val="en-US" w:eastAsia="zh-CN" w:bidi="ar-SA"/>
        </w:rPr>
        <w:t>第二节  办好人民满意教育</w:t>
      </w:r>
      <w:r>
        <w:rPr>
          <w:rFonts w:eastAsia="宋体" w:asciiTheme="minorHAnsi" w:hAnsiTheme="minorHAnsi" w:cstheme="minorBidi"/>
          <w:kern w:val="2"/>
          <w:szCs w:val="24"/>
          <w:lang w:val="en-US" w:eastAsia="zh-CN" w:bidi="ar-SA"/>
        </w:rPr>
        <w:tab/>
      </w:r>
      <w:r>
        <w:rPr>
          <w:rFonts w:eastAsia="宋体" w:asciiTheme="minorHAnsi" w:hAnsiTheme="minorHAnsi" w:cstheme="minorBidi"/>
          <w:kern w:val="2"/>
          <w:szCs w:val="24"/>
          <w:lang w:val="en-US" w:eastAsia="zh-CN" w:bidi="ar-SA"/>
        </w:rPr>
        <w:fldChar w:fldCharType="begin"/>
      </w:r>
      <w:r>
        <w:rPr>
          <w:rFonts w:eastAsia="宋体" w:asciiTheme="minorHAnsi" w:hAnsiTheme="minorHAnsi" w:cstheme="minorBidi"/>
          <w:kern w:val="2"/>
          <w:szCs w:val="24"/>
          <w:lang w:val="en-US" w:eastAsia="zh-CN" w:bidi="ar-SA"/>
        </w:rPr>
        <w:instrText xml:space="preserve"> PAGEREF _Toc20236 </w:instrText>
      </w:r>
      <w:r>
        <w:rPr>
          <w:rFonts w:eastAsia="宋体" w:asciiTheme="minorHAnsi" w:hAnsiTheme="minorHAnsi" w:cstheme="minorBidi"/>
          <w:kern w:val="2"/>
          <w:szCs w:val="24"/>
          <w:lang w:val="en-US" w:eastAsia="zh-CN" w:bidi="ar-SA"/>
        </w:rPr>
        <w:fldChar w:fldCharType="separate"/>
      </w:r>
      <w:r>
        <w:rPr>
          <w:rFonts w:eastAsia="宋体" w:asciiTheme="minorHAnsi" w:hAnsiTheme="minorHAnsi" w:cstheme="minorBidi"/>
          <w:kern w:val="2"/>
          <w:szCs w:val="24"/>
          <w:lang w:val="en-US" w:eastAsia="zh-CN" w:bidi="ar-SA"/>
        </w:rPr>
        <w:t>43</w:t>
      </w:r>
      <w:r>
        <w:rPr>
          <w:rFonts w:eastAsia="宋体" w:asciiTheme="minorHAnsi" w:hAnsiTheme="minorHAnsi" w:cstheme="minorBidi"/>
          <w:kern w:val="2"/>
          <w:szCs w:val="24"/>
          <w:lang w:val="en-US" w:eastAsia="zh-CN" w:bidi="ar-SA"/>
        </w:rPr>
        <w:fldChar w:fldCharType="end"/>
      </w:r>
      <w:r>
        <w:rPr>
          <w:rFonts w:hint="eastAsia" w:ascii="黑体" w:eastAsia="黑体" w:hAnsiTheme="minorHAnsi" w:cstheme="minorBidi"/>
          <w:kern w:val="2"/>
          <w:szCs w:val="32"/>
          <w:lang w:val="en-US" w:eastAsia="zh-CN" w:bidi="ar-SA"/>
        </w:rPr>
        <w:fldChar w:fldCharType="end"/>
      </w:r>
    </w:p>
    <w:p>
      <w:pPr>
        <w:pStyle w:val="7"/>
        <w:tabs>
          <w:tab w:val="right" w:leader="dot" w:pos="8844"/>
        </w:tabs>
        <w:rPr>
          <w:rFonts w:eastAsia="宋体" w:asciiTheme="minorHAnsi" w:hAnsiTheme="minorHAnsi" w:cstheme="minorBidi"/>
          <w:kern w:val="2"/>
          <w:szCs w:val="24"/>
          <w:lang w:val="en-US" w:eastAsia="zh-CN" w:bidi="ar-SA"/>
        </w:rPr>
      </w:pPr>
      <w:r>
        <w:rPr>
          <w:rFonts w:hint="eastAsia" w:ascii="黑体" w:eastAsia="黑体" w:hAnsiTheme="minorHAnsi" w:cstheme="minorBidi"/>
          <w:kern w:val="2"/>
          <w:szCs w:val="32"/>
          <w:lang w:val="en-US" w:eastAsia="zh-CN" w:bidi="ar-SA"/>
        </w:rPr>
        <w:fldChar w:fldCharType="begin"/>
      </w:r>
      <w:r>
        <w:rPr>
          <w:rFonts w:hint="eastAsia" w:ascii="黑体" w:eastAsia="黑体" w:hAnsiTheme="minorHAnsi" w:cstheme="minorBidi"/>
          <w:kern w:val="2"/>
          <w:szCs w:val="32"/>
          <w:lang w:val="en-US" w:eastAsia="zh-CN" w:bidi="ar-SA"/>
        </w:rPr>
        <w:instrText xml:space="preserve"> HYPERLINK \l _Toc7509 </w:instrText>
      </w:r>
      <w:r>
        <w:rPr>
          <w:rFonts w:hint="eastAsia" w:ascii="黑体" w:eastAsia="黑体" w:hAnsiTheme="minorHAnsi" w:cstheme="minorBidi"/>
          <w:kern w:val="2"/>
          <w:szCs w:val="32"/>
          <w:lang w:val="en-US" w:eastAsia="zh-CN" w:bidi="ar-SA"/>
        </w:rPr>
        <w:fldChar w:fldCharType="separate"/>
      </w:r>
      <w:r>
        <w:rPr>
          <w:rFonts w:hint="eastAsia" w:eastAsia="宋体" w:asciiTheme="minorHAnsi" w:hAnsiTheme="minorHAnsi" w:cstheme="minorBidi"/>
          <w:kern w:val="2"/>
          <w:szCs w:val="24"/>
          <w:lang w:val="en-US" w:eastAsia="zh-CN" w:bidi="ar-SA"/>
        </w:rPr>
        <w:t>第三节  鼓励支持全民就业</w:t>
      </w:r>
      <w:r>
        <w:rPr>
          <w:rFonts w:eastAsia="宋体" w:asciiTheme="minorHAnsi" w:hAnsiTheme="minorHAnsi" w:cstheme="minorBidi"/>
          <w:kern w:val="2"/>
          <w:szCs w:val="24"/>
          <w:lang w:val="en-US" w:eastAsia="zh-CN" w:bidi="ar-SA"/>
        </w:rPr>
        <w:tab/>
      </w:r>
      <w:r>
        <w:rPr>
          <w:rFonts w:eastAsia="宋体" w:asciiTheme="minorHAnsi" w:hAnsiTheme="minorHAnsi" w:cstheme="minorBidi"/>
          <w:kern w:val="2"/>
          <w:szCs w:val="24"/>
          <w:lang w:val="en-US" w:eastAsia="zh-CN" w:bidi="ar-SA"/>
        </w:rPr>
        <w:fldChar w:fldCharType="begin"/>
      </w:r>
      <w:r>
        <w:rPr>
          <w:rFonts w:eastAsia="宋体" w:asciiTheme="minorHAnsi" w:hAnsiTheme="minorHAnsi" w:cstheme="minorBidi"/>
          <w:kern w:val="2"/>
          <w:szCs w:val="24"/>
          <w:lang w:val="en-US" w:eastAsia="zh-CN" w:bidi="ar-SA"/>
        </w:rPr>
        <w:instrText xml:space="preserve"> PAGEREF _Toc7509 </w:instrText>
      </w:r>
      <w:r>
        <w:rPr>
          <w:rFonts w:eastAsia="宋体" w:asciiTheme="minorHAnsi" w:hAnsiTheme="minorHAnsi" w:cstheme="minorBidi"/>
          <w:kern w:val="2"/>
          <w:szCs w:val="24"/>
          <w:lang w:val="en-US" w:eastAsia="zh-CN" w:bidi="ar-SA"/>
        </w:rPr>
        <w:fldChar w:fldCharType="separate"/>
      </w:r>
      <w:r>
        <w:rPr>
          <w:rFonts w:eastAsia="宋体" w:asciiTheme="minorHAnsi" w:hAnsiTheme="minorHAnsi" w:cstheme="minorBidi"/>
          <w:kern w:val="2"/>
          <w:szCs w:val="24"/>
          <w:lang w:val="en-US" w:eastAsia="zh-CN" w:bidi="ar-SA"/>
        </w:rPr>
        <w:t>45</w:t>
      </w:r>
      <w:r>
        <w:rPr>
          <w:rFonts w:eastAsia="宋体" w:asciiTheme="minorHAnsi" w:hAnsiTheme="minorHAnsi" w:cstheme="minorBidi"/>
          <w:kern w:val="2"/>
          <w:szCs w:val="24"/>
          <w:lang w:val="en-US" w:eastAsia="zh-CN" w:bidi="ar-SA"/>
        </w:rPr>
        <w:fldChar w:fldCharType="end"/>
      </w:r>
      <w:r>
        <w:rPr>
          <w:rFonts w:hint="eastAsia" w:ascii="黑体" w:eastAsia="黑体" w:hAnsiTheme="minorHAnsi" w:cstheme="minorBidi"/>
          <w:kern w:val="2"/>
          <w:szCs w:val="32"/>
          <w:lang w:val="en-US" w:eastAsia="zh-CN" w:bidi="ar-SA"/>
        </w:rPr>
        <w:fldChar w:fldCharType="end"/>
      </w:r>
    </w:p>
    <w:p>
      <w:pPr>
        <w:pStyle w:val="7"/>
        <w:tabs>
          <w:tab w:val="right" w:leader="dot" w:pos="8844"/>
        </w:tabs>
        <w:rPr>
          <w:rFonts w:eastAsia="宋体" w:asciiTheme="minorHAnsi" w:hAnsiTheme="minorHAnsi" w:cstheme="minorBidi"/>
          <w:kern w:val="2"/>
          <w:szCs w:val="24"/>
          <w:lang w:val="en-US" w:eastAsia="zh-CN" w:bidi="ar-SA"/>
        </w:rPr>
      </w:pPr>
      <w:r>
        <w:rPr>
          <w:rFonts w:hint="eastAsia" w:ascii="黑体" w:eastAsia="黑体" w:hAnsiTheme="minorHAnsi" w:cstheme="minorBidi"/>
          <w:kern w:val="2"/>
          <w:szCs w:val="32"/>
          <w:lang w:val="en-US" w:eastAsia="zh-CN" w:bidi="ar-SA"/>
        </w:rPr>
        <w:fldChar w:fldCharType="begin"/>
      </w:r>
      <w:r>
        <w:rPr>
          <w:rFonts w:hint="eastAsia" w:ascii="黑体" w:eastAsia="黑体" w:hAnsiTheme="minorHAnsi" w:cstheme="minorBidi"/>
          <w:kern w:val="2"/>
          <w:szCs w:val="32"/>
          <w:lang w:val="en-US" w:eastAsia="zh-CN" w:bidi="ar-SA"/>
        </w:rPr>
        <w:instrText xml:space="preserve"> HYPERLINK \l _Toc17234 </w:instrText>
      </w:r>
      <w:r>
        <w:rPr>
          <w:rFonts w:hint="eastAsia" w:ascii="黑体" w:eastAsia="黑体" w:hAnsiTheme="minorHAnsi" w:cstheme="minorBidi"/>
          <w:kern w:val="2"/>
          <w:szCs w:val="32"/>
          <w:lang w:val="en-US" w:eastAsia="zh-CN" w:bidi="ar-SA"/>
        </w:rPr>
        <w:fldChar w:fldCharType="separate"/>
      </w:r>
      <w:r>
        <w:rPr>
          <w:rFonts w:hint="eastAsia" w:eastAsia="宋体" w:asciiTheme="minorHAnsi" w:hAnsiTheme="minorHAnsi" w:cstheme="minorBidi"/>
          <w:kern w:val="2"/>
          <w:szCs w:val="24"/>
          <w:lang w:val="en-US" w:eastAsia="zh-CN" w:bidi="ar-SA"/>
        </w:rPr>
        <w:t>第四节　提高全民健康水平</w:t>
      </w:r>
      <w:r>
        <w:rPr>
          <w:rFonts w:eastAsia="宋体" w:asciiTheme="minorHAnsi" w:hAnsiTheme="minorHAnsi" w:cstheme="minorBidi"/>
          <w:kern w:val="2"/>
          <w:szCs w:val="24"/>
          <w:lang w:val="en-US" w:eastAsia="zh-CN" w:bidi="ar-SA"/>
        </w:rPr>
        <w:tab/>
      </w:r>
      <w:r>
        <w:rPr>
          <w:rFonts w:eastAsia="宋体" w:asciiTheme="minorHAnsi" w:hAnsiTheme="minorHAnsi" w:cstheme="minorBidi"/>
          <w:kern w:val="2"/>
          <w:szCs w:val="24"/>
          <w:lang w:val="en-US" w:eastAsia="zh-CN" w:bidi="ar-SA"/>
        </w:rPr>
        <w:fldChar w:fldCharType="begin"/>
      </w:r>
      <w:r>
        <w:rPr>
          <w:rFonts w:eastAsia="宋体" w:asciiTheme="minorHAnsi" w:hAnsiTheme="minorHAnsi" w:cstheme="minorBidi"/>
          <w:kern w:val="2"/>
          <w:szCs w:val="24"/>
          <w:lang w:val="en-US" w:eastAsia="zh-CN" w:bidi="ar-SA"/>
        </w:rPr>
        <w:instrText xml:space="preserve"> PAGEREF _Toc17234 </w:instrText>
      </w:r>
      <w:r>
        <w:rPr>
          <w:rFonts w:eastAsia="宋体" w:asciiTheme="minorHAnsi" w:hAnsiTheme="minorHAnsi" w:cstheme="minorBidi"/>
          <w:kern w:val="2"/>
          <w:szCs w:val="24"/>
          <w:lang w:val="en-US" w:eastAsia="zh-CN" w:bidi="ar-SA"/>
        </w:rPr>
        <w:fldChar w:fldCharType="separate"/>
      </w:r>
      <w:r>
        <w:rPr>
          <w:rFonts w:eastAsia="宋体" w:asciiTheme="minorHAnsi" w:hAnsiTheme="minorHAnsi" w:cstheme="minorBidi"/>
          <w:kern w:val="2"/>
          <w:szCs w:val="24"/>
          <w:lang w:val="en-US" w:eastAsia="zh-CN" w:bidi="ar-SA"/>
        </w:rPr>
        <w:t>46</w:t>
      </w:r>
      <w:r>
        <w:rPr>
          <w:rFonts w:eastAsia="宋体" w:asciiTheme="minorHAnsi" w:hAnsiTheme="minorHAnsi" w:cstheme="minorBidi"/>
          <w:kern w:val="2"/>
          <w:szCs w:val="24"/>
          <w:lang w:val="en-US" w:eastAsia="zh-CN" w:bidi="ar-SA"/>
        </w:rPr>
        <w:fldChar w:fldCharType="end"/>
      </w:r>
      <w:r>
        <w:rPr>
          <w:rFonts w:hint="eastAsia" w:ascii="黑体" w:eastAsia="黑体" w:hAnsiTheme="minorHAnsi" w:cstheme="minorBidi"/>
          <w:kern w:val="2"/>
          <w:szCs w:val="32"/>
          <w:lang w:val="en-US" w:eastAsia="zh-CN" w:bidi="ar-SA"/>
        </w:rPr>
        <w:fldChar w:fldCharType="end"/>
      </w:r>
    </w:p>
    <w:p>
      <w:pPr>
        <w:pStyle w:val="7"/>
        <w:tabs>
          <w:tab w:val="right" w:leader="dot" w:pos="8844"/>
        </w:tabs>
        <w:rPr>
          <w:rFonts w:eastAsia="宋体" w:asciiTheme="minorHAnsi" w:hAnsiTheme="minorHAnsi" w:cstheme="minorBidi"/>
          <w:kern w:val="2"/>
          <w:szCs w:val="24"/>
          <w:lang w:val="en-US" w:eastAsia="zh-CN" w:bidi="ar-SA"/>
        </w:rPr>
      </w:pPr>
      <w:r>
        <w:rPr>
          <w:rFonts w:hint="eastAsia" w:ascii="黑体" w:eastAsia="黑体" w:hAnsiTheme="minorHAnsi" w:cstheme="minorBidi"/>
          <w:kern w:val="2"/>
          <w:szCs w:val="32"/>
          <w:lang w:val="en-US" w:eastAsia="zh-CN" w:bidi="ar-SA"/>
        </w:rPr>
        <w:fldChar w:fldCharType="begin"/>
      </w:r>
      <w:r>
        <w:rPr>
          <w:rFonts w:hint="eastAsia" w:ascii="黑体" w:eastAsia="黑体" w:hAnsiTheme="minorHAnsi" w:cstheme="minorBidi"/>
          <w:kern w:val="2"/>
          <w:szCs w:val="32"/>
          <w:lang w:val="en-US" w:eastAsia="zh-CN" w:bidi="ar-SA"/>
        </w:rPr>
        <w:instrText xml:space="preserve"> HYPERLINK \l _Toc23104 </w:instrText>
      </w:r>
      <w:r>
        <w:rPr>
          <w:rFonts w:hint="eastAsia" w:ascii="黑体" w:eastAsia="黑体" w:hAnsiTheme="minorHAnsi" w:cstheme="minorBidi"/>
          <w:kern w:val="2"/>
          <w:szCs w:val="32"/>
          <w:lang w:val="en-US" w:eastAsia="zh-CN" w:bidi="ar-SA"/>
        </w:rPr>
        <w:fldChar w:fldCharType="separate"/>
      </w:r>
      <w:r>
        <w:rPr>
          <w:rFonts w:hint="eastAsia" w:eastAsia="宋体" w:asciiTheme="minorHAnsi" w:hAnsiTheme="minorHAnsi" w:cstheme="minorBidi"/>
          <w:kern w:val="2"/>
          <w:szCs w:val="24"/>
          <w:lang w:val="en-US" w:eastAsia="zh-CN" w:bidi="ar-SA"/>
        </w:rPr>
        <w:t>第五节　健全公共文化服务体系</w:t>
      </w:r>
      <w:r>
        <w:rPr>
          <w:rFonts w:eastAsia="宋体" w:asciiTheme="minorHAnsi" w:hAnsiTheme="minorHAnsi" w:cstheme="minorBidi"/>
          <w:kern w:val="2"/>
          <w:szCs w:val="24"/>
          <w:lang w:val="en-US" w:eastAsia="zh-CN" w:bidi="ar-SA"/>
        </w:rPr>
        <w:tab/>
      </w:r>
      <w:r>
        <w:rPr>
          <w:rFonts w:eastAsia="宋体" w:asciiTheme="minorHAnsi" w:hAnsiTheme="minorHAnsi" w:cstheme="minorBidi"/>
          <w:kern w:val="2"/>
          <w:szCs w:val="24"/>
          <w:lang w:val="en-US" w:eastAsia="zh-CN" w:bidi="ar-SA"/>
        </w:rPr>
        <w:fldChar w:fldCharType="begin"/>
      </w:r>
      <w:r>
        <w:rPr>
          <w:rFonts w:eastAsia="宋体" w:asciiTheme="minorHAnsi" w:hAnsiTheme="minorHAnsi" w:cstheme="minorBidi"/>
          <w:kern w:val="2"/>
          <w:szCs w:val="24"/>
          <w:lang w:val="en-US" w:eastAsia="zh-CN" w:bidi="ar-SA"/>
        </w:rPr>
        <w:instrText xml:space="preserve"> PAGEREF _Toc23104 </w:instrText>
      </w:r>
      <w:r>
        <w:rPr>
          <w:rFonts w:eastAsia="宋体" w:asciiTheme="minorHAnsi" w:hAnsiTheme="minorHAnsi" w:cstheme="minorBidi"/>
          <w:kern w:val="2"/>
          <w:szCs w:val="24"/>
          <w:lang w:val="en-US" w:eastAsia="zh-CN" w:bidi="ar-SA"/>
        </w:rPr>
        <w:fldChar w:fldCharType="separate"/>
      </w:r>
      <w:r>
        <w:rPr>
          <w:rFonts w:eastAsia="宋体" w:asciiTheme="minorHAnsi" w:hAnsiTheme="minorHAnsi" w:cstheme="minorBidi"/>
          <w:kern w:val="2"/>
          <w:szCs w:val="24"/>
          <w:lang w:val="en-US" w:eastAsia="zh-CN" w:bidi="ar-SA"/>
        </w:rPr>
        <w:t>47</w:t>
      </w:r>
      <w:r>
        <w:rPr>
          <w:rFonts w:eastAsia="宋体" w:asciiTheme="minorHAnsi" w:hAnsiTheme="minorHAnsi" w:cstheme="minorBidi"/>
          <w:kern w:val="2"/>
          <w:szCs w:val="24"/>
          <w:lang w:val="en-US" w:eastAsia="zh-CN" w:bidi="ar-SA"/>
        </w:rPr>
        <w:fldChar w:fldCharType="end"/>
      </w:r>
      <w:r>
        <w:rPr>
          <w:rFonts w:hint="eastAsia" w:ascii="黑体" w:eastAsia="黑体" w:hAnsiTheme="minorHAnsi" w:cstheme="minorBidi"/>
          <w:kern w:val="2"/>
          <w:szCs w:val="32"/>
          <w:lang w:val="en-US" w:eastAsia="zh-CN" w:bidi="ar-SA"/>
        </w:rPr>
        <w:fldChar w:fldCharType="end"/>
      </w:r>
    </w:p>
    <w:p>
      <w:pPr>
        <w:pStyle w:val="7"/>
        <w:tabs>
          <w:tab w:val="right" w:leader="dot" w:pos="8844"/>
        </w:tabs>
        <w:rPr>
          <w:rFonts w:eastAsia="宋体" w:asciiTheme="minorHAnsi" w:hAnsiTheme="minorHAnsi" w:cstheme="minorBidi"/>
          <w:kern w:val="2"/>
          <w:szCs w:val="24"/>
          <w:lang w:val="en-US" w:eastAsia="zh-CN" w:bidi="ar-SA"/>
        </w:rPr>
      </w:pPr>
      <w:r>
        <w:rPr>
          <w:rFonts w:hint="eastAsia" w:ascii="黑体" w:eastAsia="黑体" w:hAnsiTheme="minorHAnsi" w:cstheme="minorBidi"/>
          <w:kern w:val="2"/>
          <w:szCs w:val="32"/>
          <w:lang w:val="en-US" w:eastAsia="zh-CN" w:bidi="ar-SA"/>
        </w:rPr>
        <w:fldChar w:fldCharType="begin"/>
      </w:r>
      <w:r>
        <w:rPr>
          <w:rFonts w:hint="eastAsia" w:ascii="黑体" w:eastAsia="黑体" w:hAnsiTheme="minorHAnsi" w:cstheme="minorBidi"/>
          <w:kern w:val="2"/>
          <w:szCs w:val="32"/>
          <w:lang w:val="en-US" w:eastAsia="zh-CN" w:bidi="ar-SA"/>
        </w:rPr>
        <w:instrText xml:space="preserve"> HYPERLINK \l _Toc2159 </w:instrText>
      </w:r>
      <w:r>
        <w:rPr>
          <w:rFonts w:hint="eastAsia" w:ascii="黑体" w:eastAsia="黑体" w:hAnsiTheme="minorHAnsi" w:cstheme="minorBidi"/>
          <w:kern w:val="2"/>
          <w:szCs w:val="32"/>
          <w:lang w:val="en-US" w:eastAsia="zh-CN" w:bidi="ar-SA"/>
        </w:rPr>
        <w:fldChar w:fldCharType="separate"/>
      </w:r>
      <w:r>
        <w:rPr>
          <w:rFonts w:hint="eastAsia" w:eastAsia="宋体" w:asciiTheme="minorHAnsi" w:hAnsiTheme="minorHAnsi" w:cstheme="minorBidi"/>
          <w:kern w:val="2"/>
          <w:szCs w:val="24"/>
          <w:lang w:val="en-US" w:eastAsia="zh-CN" w:bidi="ar-SA"/>
        </w:rPr>
        <w:t>第六节  提高全社会精神文明建设水平</w:t>
      </w:r>
      <w:r>
        <w:rPr>
          <w:rFonts w:eastAsia="宋体" w:asciiTheme="minorHAnsi" w:hAnsiTheme="minorHAnsi" w:cstheme="minorBidi"/>
          <w:kern w:val="2"/>
          <w:szCs w:val="24"/>
          <w:lang w:val="en-US" w:eastAsia="zh-CN" w:bidi="ar-SA"/>
        </w:rPr>
        <w:tab/>
      </w:r>
      <w:r>
        <w:rPr>
          <w:rFonts w:eastAsia="宋体" w:asciiTheme="minorHAnsi" w:hAnsiTheme="minorHAnsi" w:cstheme="minorBidi"/>
          <w:kern w:val="2"/>
          <w:szCs w:val="24"/>
          <w:lang w:val="en-US" w:eastAsia="zh-CN" w:bidi="ar-SA"/>
        </w:rPr>
        <w:fldChar w:fldCharType="begin"/>
      </w:r>
      <w:r>
        <w:rPr>
          <w:rFonts w:eastAsia="宋体" w:asciiTheme="minorHAnsi" w:hAnsiTheme="minorHAnsi" w:cstheme="minorBidi"/>
          <w:kern w:val="2"/>
          <w:szCs w:val="24"/>
          <w:lang w:val="en-US" w:eastAsia="zh-CN" w:bidi="ar-SA"/>
        </w:rPr>
        <w:instrText xml:space="preserve"> PAGEREF _Toc2159 </w:instrText>
      </w:r>
      <w:r>
        <w:rPr>
          <w:rFonts w:eastAsia="宋体" w:asciiTheme="minorHAnsi" w:hAnsiTheme="minorHAnsi" w:cstheme="minorBidi"/>
          <w:kern w:val="2"/>
          <w:szCs w:val="24"/>
          <w:lang w:val="en-US" w:eastAsia="zh-CN" w:bidi="ar-SA"/>
        </w:rPr>
        <w:fldChar w:fldCharType="separate"/>
      </w:r>
      <w:r>
        <w:rPr>
          <w:rFonts w:eastAsia="宋体" w:asciiTheme="minorHAnsi" w:hAnsiTheme="minorHAnsi" w:cstheme="minorBidi"/>
          <w:kern w:val="2"/>
          <w:szCs w:val="24"/>
          <w:lang w:val="en-US" w:eastAsia="zh-CN" w:bidi="ar-SA"/>
        </w:rPr>
        <w:t>49</w:t>
      </w:r>
      <w:r>
        <w:rPr>
          <w:rFonts w:eastAsia="宋体" w:asciiTheme="minorHAnsi" w:hAnsiTheme="minorHAnsi" w:cstheme="minorBidi"/>
          <w:kern w:val="2"/>
          <w:szCs w:val="24"/>
          <w:lang w:val="en-US" w:eastAsia="zh-CN" w:bidi="ar-SA"/>
        </w:rPr>
        <w:fldChar w:fldCharType="end"/>
      </w:r>
      <w:r>
        <w:rPr>
          <w:rFonts w:hint="eastAsia" w:ascii="黑体" w:eastAsia="黑体" w:hAnsiTheme="minorHAnsi" w:cstheme="minorBidi"/>
          <w:kern w:val="2"/>
          <w:szCs w:val="32"/>
          <w:lang w:val="en-US" w:eastAsia="zh-CN" w:bidi="ar-SA"/>
        </w:rPr>
        <w:fldChar w:fldCharType="end"/>
      </w:r>
    </w:p>
    <w:p>
      <w:pPr>
        <w:pStyle w:val="7"/>
        <w:tabs>
          <w:tab w:val="right" w:leader="dot" w:pos="8844"/>
        </w:tabs>
        <w:rPr>
          <w:rFonts w:eastAsia="宋体" w:asciiTheme="minorHAnsi" w:hAnsiTheme="minorHAnsi" w:cstheme="minorBidi"/>
          <w:kern w:val="2"/>
          <w:szCs w:val="24"/>
          <w:lang w:val="en-US" w:eastAsia="zh-CN" w:bidi="ar-SA"/>
        </w:rPr>
      </w:pPr>
      <w:r>
        <w:rPr>
          <w:rFonts w:hint="eastAsia" w:ascii="黑体" w:eastAsia="黑体" w:hAnsiTheme="minorHAnsi" w:cstheme="minorBidi"/>
          <w:kern w:val="2"/>
          <w:szCs w:val="32"/>
          <w:lang w:val="en-US" w:eastAsia="zh-CN" w:bidi="ar-SA"/>
        </w:rPr>
        <w:fldChar w:fldCharType="begin"/>
      </w:r>
      <w:r>
        <w:rPr>
          <w:rFonts w:hint="eastAsia" w:ascii="黑体" w:eastAsia="黑体" w:hAnsiTheme="minorHAnsi" w:cstheme="minorBidi"/>
          <w:kern w:val="2"/>
          <w:szCs w:val="32"/>
          <w:lang w:val="en-US" w:eastAsia="zh-CN" w:bidi="ar-SA"/>
        </w:rPr>
        <w:instrText xml:space="preserve"> HYPERLINK \l _Toc15336 </w:instrText>
      </w:r>
      <w:r>
        <w:rPr>
          <w:rFonts w:hint="eastAsia" w:ascii="黑体" w:eastAsia="黑体" w:hAnsiTheme="minorHAnsi" w:cstheme="minorBidi"/>
          <w:kern w:val="2"/>
          <w:szCs w:val="32"/>
          <w:lang w:val="en-US" w:eastAsia="zh-CN" w:bidi="ar-SA"/>
        </w:rPr>
        <w:fldChar w:fldCharType="separate"/>
      </w:r>
      <w:r>
        <w:rPr>
          <w:rFonts w:hint="eastAsia" w:eastAsia="宋体" w:asciiTheme="minorHAnsi" w:hAnsiTheme="minorHAnsi" w:cstheme="minorBidi"/>
          <w:kern w:val="2"/>
          <w:szCs w:val="24"/>
          <w:lang w:val="en-US" w:eastAsia="zh-CN" w:bidi="ar-SA"/>
        </w:rPr>
        <w:t>第七节　健全社会保障体系</w:t>
      </w:r>
      <w:r>
        <w:rPr>
          <w:rFonts w:eastAsia="宋体" w:asciiTheme="minorHAnsi" w:hAnsiTheme="minorHAnsi" w:cstheme="minorBidi"/>
          <w:kern w:val="2"/>
          <w:szCs w:val="24"/>
          <w:lang w:val="en-US" w:eastAsia="zh-CN" w:bidi="ar-SA"/>
        </w:rPr>
        <w:tab/>
      </w:r>
      <w:r>
        <w:rPr>
          <w:rFonts w:eastAsia="宋体" w:asciiTheme="minorHAnsi" w:hAnsiTheme="minorHAnsi" w:cstheme="minorBidi"/>
          <w:kern w:val="2"/>
          <w:szCs w:val="24"/>
          <w:lang w:val="en-US" w:eastAsia="zh-CN" w:bidi="ar-SA"/>
        </w:rPr>
        <w:fldChar w:fldCharType="begin"/>
      </w:r>
      <w:r>
        <w:rPr>
          <w:rFonts w:eastAsia="宋体" w:asciiTheme="minorHAnsi" w:hAnsiTheme="minorHAnsi" w:cstheme="minorBidi"/>
          <w:kern w:val="2"/>
          <w:szCs w:val="24"/>
          <w:lang w:val="en-US" w:eastAsia="zh-CN" w:bidi="ar-SA"/>
        </w:rPr>
        <w:instrText xml:space="preserve"> PAGEREF _Toc15336 </w:instrText>
      </w:r>
      <w:r>
        <w:rPr>
          <w:rFonts w:eastAsia="宋体" w:asciiTheme="minorHAnsi" w:hAnsiTheme="minorHAnsi" w:cstheme="minorBidi"/>
          <w:kern w:val="2"/>
          <w:szCs w:val="24"/>
          <w:lang w:val="en-US" w:eastAsia="zh-CN" w:bidi="ar-SA"/>
        </w:rPr>
        <w:fldChar w:fldCharType="separate"/>
      </w:r>
      <w:r>
        <w:rPr>
          <w:rFonts w:eastAsia="宋体" w:asciiTheme="minorHAnsi" w:hAnsiTheme="minorHAnsi" w:cstheme="minorBidi"/>
          <w:kern w:val="2"/>
          <w:szCs w:val="24"/>
          <w:lang w:val="en-US" w:eastAsia="zh-CN" w:bidi="ar-SA"/>
        </w:rPr>
        <w:t>50</w:t>
      </w:r>
      <w:r>
        <w:rPr>
          <w:rFonts w:eastAsia="宋体" w:asciiTheme="minorHAnsi" w:hAnsiTheme="minorHAnsi" w:cstheme="minorBidi"/>
          <w:kern w:val="2"/>
          <w:szCs w:val="24"/>
          <w:lang w:val="en-US" w:eastAsia="zh-CN" w:bidi="ar-SA"/>
        </w:rPr>
        <w:fldChar w:fldCharType="end"/>
      </w:r>
      <w:r>
        <w:rPr>
          <w:rFonts w:hint="eastAsia" w:ascii="黑体" w:eastAsia="黑体" w:hAnsiTheme="minorHAnsi" w:cstheme="minorBidi"/>
          <w:kern w:val="2"/>
          <w:szCs w:val="32"/>
          <w:lang w:val="en-US" w:eastAsia="zh-CN" w:bidi="ar-SA"/>
        </w:rPr>
        <w:fldChar w:fldCharType="end"/>
      </w:r>
    </w:p>
    <w:p>
      <w:pPr>
        <w:pStyle w:val="7"/>
        <w:tabs>
          <w:tab w:val="right" w:leader="dot" w:pos="8844"/>
        </w:tabs>
        <w:rPr>
          <w:rFonts w:eastAsia="宋体" w:asciiTheme="minorHAnsi" w:hAnsiTheme="minorHAnsi" w:cstheme="minorBidi"/>
          <w:kern w:val="2"/>
          <w:szCs w:val="24"/>
          <w:lang w:val="en-US" w:eastAsia="zh-CN" w:bidi="ar-SA"/>
        </w:rPr>
      </w:pPr>
      <w:r>
        <w:rPr>
          <w:rFonts w:hint="eastAsia" w:ascii="黑体" w:eastAsia="黑体" w:hAnsiTheme="minorHAnsi" w:cstheme="minorBidi"/>
          <w:kern w:val="2"/>
          <w:szCs w:val="32"/>
          <w:lang w:val="en-US" w:eastAsia="zh-CN" w:bidi="ar-SA"/>
        </w:rPr>
        <w:fldChar w:fldCharType="begin"/>
      </w:r>
      <w:r>
        <w:rPr>
          <w:rFonts w:hint="eastAsia" w:ascii="黑体" w:eastAsia="黑体" w:hAnsiTheme="minorHAnsi" w:cstheme="minorBidi"/>
          <w:kern w:val="2"/>
          <w:szCs w:val="32"/>
          <w:lang w:val="en-US" w:eastAsia="zh-CN" w:bidi="ar-SA"/>
        </w:rPr>
        <w:instrText xml:space="preserve"> HYPERLINK \l _Toc25247 </w:instrText>
      </w:r>
      <w:r>
        <w:rPr>
          <w:rFonts w:hint="eastAsia" w:ascii="黑体" w:eastAsia="黑体" w:hAnsiTheme="minorHAnsi" w:cstheme="minorBidi"/>
          <w:kern w:val="2"/>
          <w:szCs w:val="32"/>
          <w:lang w:val="en-US" w:eastAsia="zh-CN" w:bidi="ar-SA"/>
        </w:rPr>
        <w:fldChar w:fldCharType="separate"/>
      </w:r>
      <w:r>
        <w:rPr>
          <w:rFonts w:hint="eastAsia" w:eastAsia="宋体" w:asciiTheme="minorHAnsi" w:hAnsiTheme="minorHAnsi" w:cstheme="minorBidi"/>
          <w:kern w:val="2"/>
          <w:szCs w:val="24"/>
          <w:lang w:val="en-US" w:eastAsia="zh-CN" w:bidi="ar-SA"/>
        </w:rPr>
        <w:t>第八节　全面做好人口工作</w:t>
      </w:r>
      <w:r>
        <w:rPr>
          <w:rFonts w:eastAsia="宋体" w:asciiTheme="minorHAnsi" w:hAnsiTheme="minorHAnsi" w:cstheme="minorBidi"/>
          <w:kern w:val="2"/>
          <w:szCs w:val="24"/>
          <w:lang w:val="en-US" w:eastAsia="zh-CN" w:bidi="ar-SA"/>
        </w:rPr>
        <w:tab/>
      </w:r>
      <w:r>
        <w:rPr>
          <w:rFonts w:eastAsia="宋体" w:asciiTheme="minorHAnsi" w:hAnsiTheme="minorHAnsi" w:cstheme="minorBidi"/>
          <w:kern w:val="2"/>
          <w:szCs w:val="24"/>
          <w:lang w:val="en-US" w:eastAsia="zh-CN" w:bidi="ar-SA"/>
        </w:rPr>
        <w:fldChar w:fldCharType="begin"/>
      </w:r>
      <w:r>
        <w:rPr>
          <w:rFonts w:eastAsia="宋体" w:asciiTheme="minorHAnsi" w:hAnsiTheme="minorHAnsi" w:cstheme="minorBidi"/>
          <w:kern w:val="2"/>
          <w:szCs w:val="24"/>
          <w:lang w:val="en-US" w:eastAsia="zh-CN" w:bidi="ar-SA"/>
        </w:rPr>
        <w:instrText xml:space="preserve"> PAGEREF _Toc25247 </w:instrText>
      </w:r>
      <w:r>
        <w:rPr>
          <w:rFonts w:eastAsia="宋体" w:asciiTheme="minorHAnsi" w:hAnsiTheme="minorHAnsi" w:cstheme="minorBidi"/>
          <w:kern w:val="2"/>
          <w:szCs w:val="24"/>
          <w:lang w:val="en-US" w:eastAsia="zh-CN" w:bidi="ar-SA"/>
        </w:rPr>
        <w:fldChar w:fldCharType="separate"/>
      </w:r>
      <w:r>
        <w:rPr>
          <w:rFonts w:eastAsia="宋体" w:asciiTheme="minorHAnsi" w:hAnsiTheme="minorHAnsi" w:cstheme="minorBidi"/>
          <w:kern w:val="2"/>
          <w:szCs w:val="24"/>
          <w:lang w:val="en-US" w:eastAsia="zh-CN" w:bidi="ar-SA"/>
        </w:rPr>
        <w:t>52</w:t>
      </w:r>
      <w:r>
        <w:rPr>
          <w:rFonts w:eastAsia="宋体" w:asciiTheme="minorHAnsi" w:hAnsiTheme="minorHAnsi" w:cstheme="minorBidi"/>
          <w:kern w:val="2"/>
          <w:szCs w:val="24"/>
          <w:lang w:val="en-US" w:eastAsia="zh-CN" w:bidi="ar-SA"/>
        </w:rPr>
        <w:fldChar w:fldCharType="end"/>
      </w:r>
      <w:r>
        <w:rPr>
          <w:rFonts w:hint="eastAsia" w:ascii="黑体" w:eastAsia="黑体" w:hAnsiTheme="minorHAnsi" w:cstheme="minorBidi"/>
          <w:kern w:val="2"/>
          <w:szCs w:val="32"/>
          <w:lang w:val="en-US" w:eastAsia="zh-CN" w:bidi="ar-SA"/>
        </w:rPr>
        <w:fldChar w:fldCharType="end"/>
      </w:r>
    </w:p>
    <w:p>
      <w:pPr>
        <w:pStyle w:val="6"/>
        <w:tabs>
          <w:tab w:val="right" w:leader="dot" w:pos="8844"/>
        </w:tabs>
        <w:rPr>
          <w:rFonts w:eastAsia="宋体" w:asciiTheme="minorHAnsi" w:hAnsiTheme="minorHAnsi" w:cstheme="minorBidi"/>
          <w:kern w:val="2"/>
          <w:szCs w:val="24"/>
          <w:lang w:val="en-US" w:eastAsia="zh-CN" w:bidi="ar-SA"/>
        </w:rPr>
      </w:pPr>
      <w:r>
        <w:rPr>
          <w:rFonts w:hint="eastAsia" w:ascii="黑体" w:eastAsia="黑体" w:hAnsiTheme="minorHAnsi" w:cstheme="minorBidi"/>
          <w:kern w:val="2"/>
          <w:szCs w:val="32"/>
          <w:lang w:val="en-US" w:eastAsia="zh-CN" w:bidi="ar-SA"/>
        </w:rPr>
        <w:fldChar w:fldCharType="begin"/>
      </w:r>
      <w:r>
        <w:rPr>
          <w:rFonts w:hint="eastAsia" w:ascii="黑体" w:eastAsia="黑体" w:hAnsiTheme="minorHAnsi" w:cstheme="minorBidi"/>
          <w:kern w:val="2"/>
          <w:szCs w:val="32"/>
          <w:lang w:val="en-US" w:eastAsia="zh-CN" w:bidi="ar-SA"/>
        </w:rPr>
        <w:instrText xml:space="preserve"> HYPERLINK \l _Toc31112 </w:instrText>
      </w:r>
      <w:r>
        <w:rPr>
          <w:rFonts w:hint="eastAsia" w:ascii="黑体" w:eastAsia="黑体" w:hAnsiTheme="minorHAnsi" w:cstheme="minorBidi"/>
          <w:kern w:val="2"/>
          <w:szCs w:val="32"/>
          <w:lang w:val="en-US" w:eastAsia="zh-CN" w:bidi="ar-SA"/>
        </w:rPr>
        <w:fldChar w:fldCharType="separate"/>
      </w:r>
      <w:r>
        <w:rPr>
          <w:rFonts w:hint="eastAsia" w:eastAsia="宋体" w:asciiTheme="minorHAnsi" w:hAnsiTheme="minorHAnsi" w:cstheme="minorBidi"/>
          <w:kern w:val="2"/>
          <w:szCs w:val="24"/>
          <w:lang w:val="en-US" w:eastAsia="zh-CN" w:bidi="ar-SA"/>
        </w:rPr>
        <w:t>第七章　建设法治望花　促进社会安定和谐发展</w:t>
      </w:r>
      <w:r>
        <w:rPr>
          <w:rFonts w:eastAsia="宋体" w:asciiTheme="minorHAnsi" w:hAnsiTheme="minorHAnsi" w:cstheme="minorBidi"/>
          <w:kern w:val="2"/>
          <w:szCs w:val="24"/>
          <w:lang w:val="en-US" w:eastAsia="zh-CN" w:bidi="ar-SA"/>
        </w:rPr>
        <w:tab/>
      </w:r>
      <w:r>
        <w:rPr>
          <w:rFonts w:eastAsia="宋体" w:asciiTheme="minorHAnsi" w:hAnsiTheme="minorHAnsi" w:cstheme="minorBidi"/>
          <w:kern w:val="2"/>
          <w:szCs w:val="24"/>
          <w:lang w:val="en-US" w:eastAsia="zh-CN" w:bidi="ar-SA"/>
        </w:rPr>
        <w:fldChar w:fldCharType="begin"/>
      </w:r>
      <w:r>
        <w:rPr>
          <w:rFonts w:eastAsia="宋体" w:asciiTheme="minorHAnsi" w:hAnsiTheme="minorHAnsi" w:cstheme="minorBidi"/>
          <w:kern w:val="2"/>
          <w:szCs w:val="24"/>
          <w:lang w:val="en-US" w:eastAsia="zh-CN" w:bidi="ar-SA"/>
        </w:rPr>
        <w:instrText xml:space="preserve"> PAGEREF _Toc31112 </w:instrText>
      </w:r>
      <w:r>
        <w:rPr>
          <w:rFonts w:eastAsia="宋体" w:asciiTheme="minorHAnsi" w:hAnsiTheme="minorHAnsi" w:cstheme="minorBidi"/>
          <w:kern w:val="2"/>
          <w:szCs w:val="24"/>
          <w:lang w:val="en-US" w:eastAsia="zh-CN" w:bidi="ar-SA"/>
        </w:rPr>
        <w:fldChar w:fldCharType="separate"/>
      </w:r>
      <w:r>
        <w:rPr>
          <w:rFonts w:eastAsia="宋体" w:asciiTheme="minorHAnsi" w:hAnsiTheme="minorHAnsi" w:cstheme="minorBidi"/>
          <w:kern w:val="2"/>
          <w:szCs w:val="24"/>
          <w:lang w:val="en-US" w:eastAsia="zh-CN" w:bidi="ar-SA"/>
        </w:rPr>
        <w:t>53</w:t>
      </w:r>
      <w:r>
        <w:rPr>
          <w:rFonts w:eastAsia="宋体" w:asciiTheme="minorHAnsi" w:hAnsiTheme="minorHAnsi" w:cstheme="minorBidi"/>
          <w:kern w:val="2"/>
          <w:szCs w:val="24"/>
          <w:lang w:val="en-US" w:eastAsia="zh-CN" w:bidi="ar-SA"/>
        </w:rPr>
        <w:fldChar w:fldCharType="end"/>
      </w:r>
      <w:r>
        <w:rPr>
          <w:rFonts w:hint="eastAsia" w:ascii="黑体" w:eastAsia="黑体" w:hAnsiTheme="minorHAnsi" w:cstheme="minorBidi"/>
          <w:kern w:val="2"/>
          <w:szCs w:val="32"/>
          <w:lang w:val="en-US" w:eastAsia="zh-CN" w:bidi="ar-SA"/>
        </w:rPr>
        <w:fldChar w:fldCharType="end"/>
      </w:r>
    </w:p>
    <w:p>
      <w:pPr>
        <w:pStyle w:val="7"/>
        <w:tabs>
          <w:tab w:val="right" w:leader="dot" w:pos="8844"/>
        </w:tabs>
        <w:rPr>
          <w:rFonts w:eastAsia="宋体" w:asciiTheme="minorHAnsi" w:hAnsiTheme="minorHAnsi" w:cstheme="minorBidi"/>
          <w:kern w:val="2"/>
          <w:szCs w:val="24"/>
          <w:lang w:val="en-US" w:eastAsia="zh-CN" w:bidi="ar-SA"/>
        </w:rPr>
      </w:pPr>
      <w:r>
        <w:rPr>
          <w:rFonts w:hint="eastAsia" w:ascii="黑体" w:eastAsia="黑体" w:hAnsiTheme="minorHAnsi" w:cstheme="minorBidi"/>
          <w:kern w:val="2"/>
          <w:szCs w:val="32"/>
          <w:lang w:val="en-US" w:eastAsia="zh-CN" w:bidi="ar-SA"/>
        </w:rPr>
        <w:fldChar w:fldCharType="begin"/>
      </w:r>
      <w:r>
        <w:rPr>
          <w:rFonts w:hint="eastAsia" w:ascii="黑体" w:eastAsia="黑体" w:hAnsiTheme="minorHAnsi" w:cstheme="minorBidi"/>
          <w:kern w:val="2"/>
          <w:szCs w:val="32"/>
          <w:lang w:val="en-US" w:eastAsia="zh-CN" w:bidi="ar-SA"/>
        </w:rPr>
        <w:instrText xml:space="preserve"> HYPERLINK \l _Toc26708 </w:instrText>
      </w:r>
      <w:r>
        <w:rPr>
          <w:rFonts w:hint="eastAsia" w:ascii="黑体" w:eastAsia="黑体" w:hAnsiTheme="minorHAnsi" w:cstheme="minorBidi"/>
          <w:kern w:val="2"/>
          <w:szCs w:val="32"/>
          <w:lang w:val="en-US" w:eastAsia="zh-CN" w:bidi="ar-SA"/>
        </w:rPr>
        <w:fldChar w:fldCharType="separate"/>
      </w:r>
      <w:r>
        <w:rPr>
          <w:rFonts w:hint="eastAsia" w:eastAsia="宋体" w:asciiTheme="minorHAnsi" w:hAnsiTheme="minorHAnsi" w:cstheme="minorBidi"/>
          <w:kern w:val="2"/>
          <w:szCs w:val="24"/>
          <w:lang w:val="en-US" w:eastAsia="zh-CN" w:bidi="ar-SA"/>
        </w:rPr>
        <w:t>第一节　加强法治建设</w:t>
      </w:r>
      <w:r>
        <w:rPr>
          <w:rFonts w:eastAsia="宋体" w:asciiTheme="minorHAnsi" w:hAnsiTheme="minorHAnsi" w:cstheme="minorBidi"/>
          <w:kern w:val="2"/>
          <w:szCs w:val="24"/>
          <w:lang w:val="en-US" w:eastAsia="zh-CN" w:bidi="ar-SA"/>
        </w:rPr>
        <w:tab/>
      </w:r>
      <w:r>
        <w:rPr>
          <w:rFonts w:eastAsia="宋体" w:asciiTheme="minorHAnsi" w:hAnsiTheme="minorHAnsi" w:cstheme="minorBidi"/>
          <w:kern w:val="2"/>
          <w:szCs w:val="24"/>
          <w:lang w:val="en-US" w:eastAsia="zh-CN" w:bidi="ar-SA"/>
        </w:rPr>
        <w:fldChar w:fldCharType="begin"/>
      </w:r>
      <w:r>
        <w:rPr>
          <w:rFonts w:eastAsia="宋体" w:asciiTheme="minorHAnsi" w:hAnsiTheme="minorHAnsi" w:cstheme="minorBidi"/>
          <w:kern w:val="2"/>
          <w:szCs w:val="24"/>
          <w:lang w:val="en-US" w:eastAsia="zh-CN" w:bidi="ar-SA"/>
        </w:rPr>
        <w:instrText xml:space="preserve"> PAGEREF _Toc26708 </w:instrText>
      </w:r>
      <w:r>
        <w:rPr>
          <w:rFonts w:eastAsia="宋体" w:asciiTheme="minorHAnsi" w:hAnsiTheme="minorHAnsi" w:cstheme="minorBidi"/>
          <w:kern w:val="2"/>
          <w:szCs w:val="24"/>
          <w:lang w:val="en-US" w:eastAsia="zh-CN" w:bidi="ar-SA"/>
        </w:rPr>
        <w:fldChar w:fldCharType="separate"/>
      </w:r>
      <w:r>
        <w:rPr>
          <w:rFonts w:eastAsia="宋体" w:asciiTheme="minorHAnsi" w:hAnsiTheme="minorHAnsi" w:cstheme="minorBidi"/>
          <w:kern w:val="2"/>
          <w:szCs w:val="24"/>
          <w:lang w:val="en-US" w:eastAsia="zh-CN" w:bidi="ar-SA"/>
        </w:rPr>
        <w:t>53</w:t>
      </w:r>
      <w:r>
        <w:rPr>
          <w:rFonts w:eastAsia="宋体" w:asciiTheme="minorHAnsi" w:hAnsiTheme="minorHAnsi" w:cstheme="minorBidi"/>
          <w:kern w:val="2"/>
          <w:szCs w:val="24"/>
          <w:lang w:val="en-US" w:eastAsia="zh-CN" w:bidi="ar-SA"/>
        </w:rPr>
        <w:fldChar w:fldCharType="end"/>
      </w:r>
      <w:r>
        <w:rPr>
          <w:rFonts w:hint="eastAsia" w:ascii="黑体" w:eastAsia="黑体" w:hAnsiTheme="minorHAnsi" w:cstheme="minorBidi"/>
          <w:kern w:val="2"/>
          <w:szCs w:val="32"/>
          <w:lang w:val="en-US" w:eastAsia="zh-CN" w:bidi="ar-SA"/>
        </w:rPr>
        <w:fldChar w:fldCharType="end"/>
      </w:r>
    </w:p>
    <w:p>
      <w:pPr>
        <w:pStyle w:val="7"/>
        <w:tabs>
          <w:tab w:val="right" w:leader="dot" w:pos="8844"/>
        </w:tabs>
        <w:rPr>
          <w:rFonts w:eastAsia="宋体" w:asciiTheme="minorHAnsi" w:hAnsiTheme="minorHAnsi" w:cstheme="minorBidi"/>
          <w:kern w:val="2"/>
          <w:szCs w:val="24"/>
          <w:lang w:val="en-US" w:eastAsia="zh-CN" w:bidi="ar-SA"/>
        </w:rPr>
      </w:pPr>
      <w:r>
        <w:rPr>
          <w:rFonts w:hint="eastAsia" w:ascii="黑体" w:eastAsia="黑体" w:hAnsiTheme="minorHAnsi" w:cstheme="minorBidi"/>
          <w:kern w:val="2"/>
          <w:szCs w:val="32"/>
          <w:lang w:val="en-US" w:eastAsia="zh-CN" w:bidi="ar-SA"/>
        </w:rPr>
        <w:fldChar w:fldCharType="begin"/>
      </w:r>
      <w:r>
        <w:rPr>
          <w:rFonts w:hint="eastAsia" w:ascii="黑体" w:eastAsia="黑体" w:hAnsiTheme="minorHAnsi" w:cstheme="minorBidi"/>
          <w:kern w:val="2"/>
          <w:szCs w:val="32"/>
          <w:lang w:val="en-US" w:eastAsia="zh-CN" w:bidi="ar-SA"/>
        </w:rPr>
        <w:instrText xml:space="preserve"> HYPERLINK \l _Toc17226 </w:instrText>
      </w:r>
      <w:r>
        <w:rPr>
          <w:rFonts w:hint="eastAsia" w:ascii="黑体" w:eastAsia="黑体" w:hAnsiTheme="minorHAnsi" w:cstheme="minorBidi"/>
          <w:kern w:val="2"/>
          <w:szCs w:val="32"/>
          <w:lang w:val="en-US" w:eastAsia="zh-CN" w:bidi="ar-SA"/>
        </w:rPr>
        <w:fldChar w:fldCharType="separate"/>
      </w:r>
      <w:r>
        <w:rPr>
          <w:rFonts w:hint="eastAsia" w:eastAsia="宋体" w:asciiTheme="minorHAnsi" w:hAnsiTheme="minorHAnsi" w:cstheme="minorBidi"/>
          <w:kern w:val="2"/>
          <w:szCs w:val="24"/>
          <w:lang w:val="en-US" w:eastAsia="zh-CN" w:bidi="ar-SA"/>
        </w:rPr>
        <w:t>第二节　构建社会治理体系</w:t>
      </w:r>
      <w:r>
        <w:rPr>
          <w:rFonts w:eastAsia="宋体" w:asciiTheme="minorHAnsi" w:hAnsiTheme="minorHAnsi" w:cstheme="minorBidi"/>
          <w:kern w:val="2"/>
          <w:szCs w:val="24"/>
          <w:lang w:val="en-US" w:eastAsia="zh-CN" w:bidi="ar-SA"/>
        </w:rPr>
        <w:tab/>
      </w:r>
      <w:r>
        <w:rPr>
          <w:rFonts w:eastAsia="宋体" w:asciiTheme="minorHAnsi" w:hAnsiTheme="minorHAnsi" w:cstheme="minorBidi"/>
          <w:kern w:val="2"/>
          <w:szCs w:val="24"/>
          <w:lang w:val="en-US" w:eastAsia="zh-CN" w:bidi="ar-SA"/>
        </w:rPr>
        <w:fldChar w:fldCharType="begin"/>
      </w:r>
      <w:r>
        <w:rPr>
          <w:rFonts w:eastAsia="宋体" w:asciiTheme="minorHAnsi" w:hAnsiTheme="minorHAnsi" w:cstheme="minorBidi"/>
          <w:kern w:val="2"/>
          <w:szCs w:val="24"/>
          <w:lang w:val="en-US" w:eastAsia="zh-CN" w:bidi="ar-SA"/>
        </w:rPr>
        <w:instrText xml:space="preserve"> PAGEREF _Toc17226 </w:instrText>
      </w:r>
      <w:r>
        <w:rPr>
          <w:rFonts w:eastAsia="宋体" w:asciiTheme="minorHAnsi" w:hAnsiTheme="minorHAnsi" w:cstheme="minorBidi"/>
          <w:kern w:val="2"/>
          <w:szCs w:val="24"/>
          <w:lang w:val="en-US" w:eastAsia="zh-CN" w:bidi="ar-SA"/>
        </w:rPr>
        <w:fldChar w:fldCharType="separate"/>
      </w:r>
      <w:r>
        <w:rPr>
          <w:rFonts w:eastAsia="宋体" w:asciiTheme="minorHAnsi" w:hAnsiTheme="minorHAnsi" w:cstheme="minorBidi"/>
          <w:kern w:val="2"/>
          <w:szCs w:val="24"/>
          <w:lang w:val="en-US" w:eastAsia="zh-CN" w:bidi="ar-SA"/>
        </w:rPr>
        <w:t>55</w:t>
      </w:r>
      <w:r>
        <w:rPr>
          <w:rFonts w:eastAsia="宋体" w:asciiTheme="minorHAnsi" w:hAnsiTheme="minorHAnsi" w:cstheme="minorBidi"/>
          <w:kern w:val="2"/>
          <w:szCs w:val="24"/>
          <w:lang w:val="en-US" w:eastAsia="zh-CN" w:bidi="ar-SA"/>
        </w:rPr>
        <w:fldChar w:fldCharType="end"/>
      </w:r>
      <w:r>
        <w:rPr>
          <w:rFonts w:hint="eastAsia" w:ascii="黑体" w:eastAsia="黑体" w:hAnsiTheme="minorHAnsi" w:cstheme="minorBidi"/>
          <w:kern w:val="2"/>
          <w:szCs w:val="32"/>
          <w:lang w:val="en-US" w:eastAsia="zh-CN" w:bidi="ar-SA"/>
        </w:rPr>
        <w:fldChar w:fldCharType="end"/>
      </w:r>
    </w:p>
    <w:p>
      <w:pPr>
        <w:pStyle w:val="7"/>
        <w:tabs>
          <w:tab w:val="right" w:leader="dot" w:pos="8844"/>
        </w:tabs>
        <w:rPr>
          <w:rFonts w:eastAsia="宋体" w:asciiTheme="minorHAnsi" w:hAnsiTheme="minorHAnsi" w:cstheme="minorBidi"/>
          <w:kern w:val="2"/>
          <w:szCs w:val="24"/>
          <w:lang w:val="en-US" w:eastAsia="zh-CN" w:bidi="ar-SA"/>
        </w:rPr>
      </w:pPr>
      <w:r>
        <w:rPr>
          <w:rFonts w:hint="eastAsia" w:ascii="黑体" w:eastAsia="黑体" w:hAnsiTheme="minorHAnsi" w:cstheme="minorBidi"/>
          <w:kern w:val="2"/>
          <w:szCs w:val="32"/>
          <w:lang w:val="en-US" w:eastAsia="zh-CN" w:bidi="ar-SA"/>
        </w:rPr>
        <w:fldChar w:fldCharType="begin"/>
      </w:r>
      <w:r>
        <w:rPr>
          <w:rFonts w:hint="eastAsia" w:ascii="黑体" w:eastAsia="黑体" w:hAnsiTheme="minorHAnsi" w:cstheme="minorBidi"/>
          <w:kern w:val="2"/>
          <w:szCs w:val="32"/>
          <w:lang w:val="en-US" w:eastAsia="zh-CN" w:bidi="ar-SA"/>
        </w:rPr>
        <w:instrText xml:space="preserve"> HYPERLINK \l _Toc13965 </w:instrText>
      </w:r>
      <w:r>
        <w:rPr>
          <w:rFonts w:hint="eastAsia" w:ascii="黑体" w:eastAsia="黑体" w:hAnsiTheme="minorHAnsi" w:cstheme="minorBidi"/>
          <w:kern w:val="2"/>
          <w:szCs w:val="32"/>
          <w:lang w:val="en-US" w:eastAsia="zh-CN" w:bidi="ar-SA"/>
        </w:rPr>
        <w:fldChar w:fldCharType="separate"/>
      </w:r>
      <w:r>
        <w:rPr>
          <w:rFonts w:hint="eastAsia" w:eastAsia="宋体" w:asciiTheme="minorHAnsi" w:hAnsiTheme="minorHAnsi" w:cstheme="minorBidi"/>
          <w:kern w:val="2"/>
          <w:szCs w:val="24"/>
          <w:lang w:val="en-US" w:eastAsia="zh-CN" w:bidi="ar-SA"/>
        </w:rPr>
        <w:t>第三节　预防化解社会矛盾</w:t>
      </w:r>
      <w:r>
        <w:rPr>
          <w:rFonts w:eastAsia="宋体" w:asciiTheme="minorHAnsi" w:hAnsiTheme="minorHAnsi" w:cstheme="minorBidi"/>
          <w:kern w:val="2"/>
          <w:szCs w:val="24"/>
          <w:lang w:val="en-US" w:eastAsia="zh-CN" w:bidi="ar-SA"/>
        </w:rPr>
        <w:tab/>
      </w:r>
      <w:r>
        <w:rPr>
          <w:rFonts w:eastAsia="宋体" w:asciiTheme="minorHAnsi" w:hAnsiTheme="minorHAnsi" w:cstheme="minorBidi"/>
          <w:kern w:val="2"/>
          <w:szCs w:val="24"/>
          <w:lang w:val="en-US" w:eastAsia="zh-CN" w:bidi="ar-SA"/>
        </w:rPr>
        <w:fldChar w:fldCharType="begin"/>
      </w:r>
      <w:r>
        <w:rPr>
          <w:rFonts w:eastAsia="宋体" w:asciiTheme="minorHAnsi" w:hAnsiTheme="minorHAnsi" w:cstheme="minorBidi"/>
          <w:kern w:val="2"/>
          <w:szCs w:val="24"/>
          <w:lang w:val="en-US" w:eastAsia="zh-CN" w:bidi="ar-SA"/>
        </w:rPr>
        <w:instrText xml:space="preserve"> PAGEREF _Toc13965 </w:instrText>
      </w:r>
      <w:r>
        <w:rPr>
          <w:rFonts w:eastAsia="宋体" w:asciiTheme="minorHAnsi" w:hAnsiTheme="minorHAnsi" w:cstheme="minorBidi"/>
          <w:kern w:val="2"/>
          <w:szCs w:val="24"/>
          <w:lang w:val="en-US" w:eastAsia="zh-CN" w:bidi="ar-SA"/>
        </w:rPr>
        <w:fldChar w:fldCharType="separate"/>
      </w:r>
      <w:r>
        <w:rPr>
          <w:rFonts w:eastAsia="宋体" w:asciiTheme="minorHAnsi" w:hAnsiTheme="minorHAnsi" w:cstheme="minorBidi"/>
          <w:kern w:val="2"/>
          <w:szCs w:val="24"/>
          <w:lang w:val="en-US" w:eastAsia="zh-CN" w:bidi="ar-SA"/>
        </w:rPr>
        <w:t>56</w:t>
      </w:r>
      <w:r>
        <w:rPr>
          <w:rFonts w:eastAsia="宋体" w:asciiTheme="minorHAnsi" w:hAnsiTheme="minorHAnsi" w:cstheme="minorBidi"/>
          <w:kern w:val="2"/>
          <w:szCs w:val="24"/>
          <w:lang w:val="en-US" w:eastAsia="zh-CN" w:bidi="ar-SA"/>
        </w:rPr>
        <w:fldChar w:fldCharType="end"/>
      </w:r>
      <w:r>
        <w:rPr>
          <w:rFonts w:hint="eastAsia" w:ascii="黑体" w:eastAsia="黑体" w:hAnsiTheme="minorHAnsi" w:cstheme="minorBidi"/>
          <w:kern w:val="2"/>
          <w:szCs w:val="32"/>
          <w:lang w:val="en-US" w:eastAsia="zh-CN" w:bidi="ar-SA"/>
        </w:rPr>
        <w:fldChar w:fldCharType="end"/>
      </w:r>
    </w:p>
    <w:p>
      <w:pPr>
        <w:pStyle w:val="6"/>
        <w:tabs>
          <w:tab w:val="right" w:leader="dot" w:pos="8844"/>
        </w:tabs>
        <w:rPr>
          <w:rFonts w:eastAsia="宋体" w:asciiTheme="minorHAnsi" w:hAnsiTheme="minorHAnsi" w:cstheme="minorBidi"/>
          <w:kern w:val="2"/>
          <w:szCs w:val="24"/>
          <w:lang w:val="en-US" w:eastAsia="zh-CN" w:bidi="ar-SA"/>
        </w:rPr>
      </w:pPr>
      <w:r>
        <w:rPr>
          <w:rFonts w:hint="eastAsia" w:ascii="黑体" w:eastAsia="黑体" w:hAnsiTheme="minorHAnsi" w:cstheme="minorBidi"/>
          <w:kern w:val="2"/>
          <w:szCs w:val="32"/>
          <w:lang w:val="en-US" w:eastAsia="zh-CN" w:bidi="ar-SA"/>
        </w:rPr>
        <w:fldChar w:fldCharType="begin"/>
      </w:r>
      <w:r>
        <w:rPr>
          <w:rFonts w:hint="eastAsia" w:ascii="黑体" w:eastAsia="黑体" w:hAnsiTheme="minorHAnsi" w:cstheme="minorBidi"/>
          <w:kern w:val="2"/>
          <w:szCs w:val="32"/>
          <w:lang w:val="en-US" w:eastAsia="zh-CN" w:bidi="ar-SA"/>
        </w:rPr>
        <w:instrText xml:space="preserve"> HYPERLINK \l _Toc8643 </w:instrText>
      </w:r>
      <w:r>
        <w:rPr>
          <w:rFonts w:hint="eastAsia" w:ascii="黑体" w:eastAsia="黑体" w:hAnsiTheme="minorHAnsi" w:cstheme="minorBidi"/>
          <w:kern w:val="2"/>
          <w:szCs w:val="32"/>
          <w:lang w:val="en-US" w:eastAsia="zh-CN" w:bidi="ar-SA"/>
        </w:rPr>
        <w:fldChar w:fldCharType="separate"/>
      </w:r>
      <w:r>
        <w:rPr>
          <w:rFonts w:hint="eastAsia" w:eastAsia="宋体" w:asciiTheme="minorHAnsi" w:hAnsiTheme="minorHAnsi" w:cstheme="minorBidi"/>
          <w:kern w:val="2"/>
          <w:szCs w:val="24"/>
          <w:lang w:val="en-US" w:eastAsia="zh-CN" w:bidi="ar-SA"/>
        </w:rPr>
        <w:t>第八章  强化规划实施　确保实现发展蓝图</w:t>
      </w:r>
      <w:r>
        <w:rPr>
          <w:rFonts w:eastAsia="宋体" w:asciiTheme="minorHAnsi" w:hAnsiTheme="minorHAnsi" w:cstheme="minorBidi"/>
          <w:kern w:val="2"/>
          <w:szCs w:val="24"/>
          <w:lang w:val="en-US" w:eastAsia="zh-CN" w:bidi="ar-SA"/>
        </w:rPr>
        <w:tab/>
      </w:r>
      <w:r>
        <w:rPr>
          <w:rFonts w:eastAsia="宋体" w:asciiTheme="minorHAnsi" w:hAnsiTheme="minorHAnsi" w:cstheme="minorBidi"/>
          <w:kern w:val="2"/>
          <w:szCs w:val="24"/>
          <w:lang w:val="en-US" w:eastAsia="zh-CN" w:bidi="ar-SA"/>
        </w:rPr>
        <w:fldChar w:fldCharType="begin"/>
      </w:r>
      <w:r>
        <w:rPr>
          <w:rFonts w:eastAsia="宋体" w:asciiTheme="minorHAnsi" w:hAnsiTheme="minorHAnsi" w:cstheme="minorBidi"/>
          <w:kern w:val="2"/>
          <w:szCs w:val="24"/>
          <w:lang w:val="en-US" w:eastAsia="zh-CN" w:bidi="ar-SA"/>
        </w:rPr>
        <w:instrText xml:space="preserve"> PAGEREF _Toc8643 </w:instrText>
      </w:r>
      <w:r>
        <w:rPr>
          <w:rFonts w:eastAsia="宋体" w:asciiTheme="minorHAnsi" w:hAnsiTheme="minorHAnsi" w:cstheme="minorBidi"/>
          <w:kern w:val="2"/>
          <w:szCs w:val="24"/>
          <w:lang w:val="en-US" w:eastAsia="zh-CN" w:bidi="ar-SA"/>
        </w:rPr>
        <w:fldChar w:fldCharType="separate"/>
      </w:r>
      <w:r>
        <w:rPr>
          <w:rFonts w:eastAsia="宋体" w:asciiTheme="minorHAnsi" w:hAnsiTheme="minorHAnsi" w:cstheme="minorBidi"/>
          <w:kern w:val="2"/>
          <w:szCs w:val="24"/>
          <w:lang w:val="en-US" w:eastAsia="zh-CN" w:bidi="ar-SA"/>
        </w:rPr>
        <w:t>58</w:t>
      </w:r>
      <w:r>
        <w:rPr>
          <w:rFonts w:eastAsia="宋体" w:asciiTheme="minorHAnsi" w:hAnsiTheme="minorHAnsi" w:cstheme="minorBidi"/>
          <w:kern w:val="2"/>
          <w:szCs w:val="24"/>
          <w:lang w:val="en-US" w:eastAsia="zh-CN" w:bidi="ar-SA"/>
        </w:rPr>
        <w:fldChar w:fldCharType="end"/>
      </w:r>
      <w:r>
        <w:rPr>
          <w:rFonts w:hint="eastAsia" w:ascii="黑体" w:eastAsia="黑体" w:hAnsiTheme="minorHAnsi" w:cstheme="minorBidi"/>
          <w:kern w:val="2"/>
          <w:szCs w:val="32"/>
          <w:lang w:val="en-US" w:eastAsia="zh-CN" w:bidi="ar-SA"/>
        </w:rPr>
        <w:fldChar w:fldCharType="end"/>
      </w:r>
    </w:p>
    <w:p>
      <w:pPr>
        <w:pageBreakBefore w:val="0"/>
        <w:kinsoku/>
        <w:wordWrap/>
        <w:overflowPunct w:val="0"/>
        <w:topLinePunct w:val="0"/>
        <w:bidi w:val="0"/>
        <w:snapToGrid w:val="0"/>
        <w:spacing w:line="360" w:lineRule="auto"/>
        <w:ind w:right="0" w:rightChars="0"/>
        <w:jc w:val="left"/>
        <w:rPr>
          <w:rFonts w:hint="eastAsia" w:ascii="方正小标宋简体" w:eastAsia="方正小标宋简体"/>
          <w:sz w:val="44"/>
          <w:szCs w:val="44"/>
        </w:rPr>
      </w:pPr>
      <w:r>
        <w:rPr>
          <w:rFonts w:hint="eastAsia" w:ascii="黑体" w:eastAsia="黑体" w:hAnsiTheme="minorHAnsi" w:cstheme="minorBidi"/>
          <w:kern w:val="2"/>
          <w:szCs w:val="32"/>
          <w:lang w:val="en-US" w:eastAsia="zh-CN" w:bidi="ar-SA"/>
        </w:rPr>
        <w:fldChar w:fldCharType="end"/>
      </w:r>
    </w:p>
    <w:p>
      <w:pPr>
        <w:pageBreakBefore w:val="0"/>
        <w:kinsoku/>
        <w:wordWrap/>
        <w:overflowPunct w:val="0"/>
        <w:topLinePunct w:val="0"/>
        <w:bidi w:val="0"/>
        <w:ind w:right="0" w:rightChars="0"/>
        <w:jc w:val="center"/>
        <w:rPr>
          <w:rFonts w:hint="eastAsia" w:ascii="方正小标宋简体" w:eastAsia="方正小标宋简体"/>
          <w:sz w:val="44"/>
          <w:szCs w:val="44"/>
        </w:rPr>
        <w:sectPr>
          <w:footerReference r:id="rId9" w:type="default"/>
          <w:pgSz w:w="11906" w:h="16838"/>
          <w:pgMar w:top="2098" w:right="1531" w:bottom="1418" w:left="1531" w:header="851" w:footer="992" w:gutter="0"/>
          <w:pgBorders>
            <w:top w:val="none" w:color="auto" w:sz="0" w:space="0"/>
            <w:left w:val="none" w:color="auto" w:sz="0" w:space="0"/>
            <w:bottom w:val="none" w:color="auto" w:sz="0" w:space="0"/>
            <w:right w:val="none" w:color="auto" w:sz="0" w:space="0"/>
          </w:pgBorders>
          <w:pgNumType w:fmt="decimal" w:start="1"/>
          <w:cols w:space="720" w:num="1"/>
          <w:docGrid w:type="lines" w:linePitch="312" w:charSpace="0"/>
        </w:sectPr>
      </w:pPr>
    </w:p>
    <w:p>
      <w:pPr>
        <w:pageBreakBefore w:val="0"/>
        <w:kinsoku/>
        <w:wordWrap/>
        <w:overflowPunct w:val="0"/>
        <w:topLinePunct w:val="0"/>
        <w:bidi w:val="0"/>
        <w:ind w:right="0" w:rightChars="0"/>
        <w:jc w:val="center"/>
        <w:rPr>
          <w:rFonts w:hint="eastAsia" w:ascii="方正小标宋简体" w:eastAsia="方正小标宋简体"/>
          <w:sz w:val="44"/>
          <w:szCs w:val="44"/>
        </w:rPr>
      </w:pPr>
      <w:r>
        <w:rPr>
          <w:rFonts w:hint="eastAsia" w:ascii="方正小标宋简体" w:eastAsia="方正小标宋简体"/>
          <w:sz w:val="44"/>
          <w:szCs w:val="44"/>
          <w:lang w:eastAsia="zh-CN"/>
        </w:rPr>
        <w:t>抚顺市</w:t>
      </w:r>
      <w:r>
        <w:rPr>
          <w:rFonts w:hint="eastAsia" w:ascii="方正小标宋简体" w:eastAsia="方正小标宋简体"/>
          <w:sz w:val="44"/>
          <w:szCs w:val="44"/>
        </w:rPr>
        <w:t>望花区国民经济和社会发展</w:t>
      </w:r>
    </w:p>
    <w:p>
      <w:pPr>
        <w:pageBreakBefore w:val="0"/>
        <w:kinsoku/>
        <w:wordWrap/>
        <w:overflowPunct w:val="0"/>
        <w:topLinePunct w:val="0"/>
        <w:bidi w:val="0"/>
        <w:ind w:right="0" w:rightChars="0"/>
        <w:jc w:val="center"/>
        <w:rPr>
          <w:rFonts w:hint="eastAsia" w:ascii="方正小标宋简体" w:eastAsia="方正小标宋简体"/>
          <w:sz w:val="44"/>
          <w:szCs w:val="44"/>
        </w:rPr>
      </w:pPr>
      <w:r>
        <w:rPr>
          <w:rFonts w:hint="eastAsia" w:ascii="方正小标宋简体" w:eastAsia="方正小标宋简体"/>
          <w:sz w:val="44"/>
          <w:szCs w:val="44"/>
        </w:rPr>
        <w:t>第十三个五年规划纲要</w:t>
      </w:r>
      <w:r>
        <w:rPr>
          <w:rFonts w:hint="eastAsia" w:ascii="方正小标宋简体" w:eastAsia="方正小标宋简体"/>
          <w:sz w:val="44"/>
          <w:szCs w:val="44"/>
          <w:lang w:eastAsia="zh-CN"/>
        </w:rPr>
        <w:t>（草案）</w:t>
      </w:r>
    </w:p>
    <w:p>
      <w:pPr>
        <w:pageBreakBefore w:val="0"/>
        <w:widowControl w:val="0"/>
        <w:kinsoku/>
        <w:wordWrap/>
        <w:overflowPunct w:val="0"/>
        <w:topLinePunct w:val="0"/>
        <w:autoSpaceDE/>
        <w:autoSpaceDN/>
        <w:bidi w:val="0"/>
        <w:adjustRightInd/>
        <w:snapToGrid/>
        <w:spacing w:line="240" w:lineRule="exact"/>
        <w:ind w:left="0" w:leftChars="0" w:right="0" w:rightChars="0"/>
        <w:textAlignment w:val="auto"/>
        <w:rPr>
          <w:rFonts w:hint="eastAsia" w:ascii="仿宋" w:hAnsi="仿宋" w:eastAsia="仿宋" w:cs="仿宋"/>
          <w:kern w:val="0"/>
          <w:sz w:val="32"/>
          <w:szCs w:val="32"/>
          <w:lang w:val="zh-CN"/>
        </w:rPr>
      </w:pPr>
      <w:r>
        <w:rPr>
          <w:rFonts w:hint="eastAsia" w:ascii="宋体" w:cs="宋体"/>
          <w:kern w:val="0"/>
          <w:sz w:val="32"/>
          <w:szCs w:val="32"/>
          <w:lang w:val="en-US" w:eastAsia="zh-CN"/>
        </w:rPr>
        <w:t xml:space="preserve">         </w:t>
      </w:r>
    </w:p>
    <w:p>
      <w:pPr>
        <w:pageBreakBefore w:val="0"/>
        <w:widowControl w:val="0"/>
        <w:kinsoku/>
        <w:wordWrap/>
        <w:overflowPunct w:val="0"/>
        <w:topLinePunct w:val="0"/>
        <w:autoSpaceDE/>
        <w:autoSpaceDN/>
        <w:bidi w:val="0"/>
        <w:adjustRightInd/>
        <w:snapToGrid/>
        <w:spacing w:line="240" w:lineRule="exact"/>
        <w:ind w:left="0" w:leftChars="0" w:right="0" w:rightChars="0" w:firstLine="1440" w:firstLineChars="600"/>
        <w:textAlignment w:val="auto"/>
        <w:rPr>
          <w:sz w:val="24"/>
        </w:rPr>
      </w:pPr>
    </w:p>
    <w:p>
      <w:pPr>
        <w:pStyle w:val="2"/>
        <w:pageBreakBefore w:val="0"/>
        <w:widowControl w:val="0"/>
        <w:kinsoku/>
        <w:wordWrap/>
        <w:topLinePunct w:val="0"/>
        <w:autoSpaceDE/>
        <w:autoSpaceDN/>
        <w:bidi w:val="0"/>
        <w:adjustRightInd/>
        <w:snapToGrid/>
        <w:spacing w:line="240" w:lineRule="exact"/>
        <w:ind w:left="0" w:leftChars="0" w:right="0" w:rightChars="0"/>
        <w:textAlignment w:val="auto"/>
        <w:rPr>
          <w:rFonts w:hint="eastAsia"/>
        </w:rPr>
      </w:pPr>
      <w:bookmarkStart w:id="0" w:name="_Toc28081"/>
      <w:r>
        <w:rPr>
          <w:rFonts w:hint="eastAsia"/>
        </w:rPr>
        <w:t>前  言</w:t>
      </w:r>
      <w:bookmarkEnd w:id="0"/>
    </w:p>
    <w:p>
      <w:pPr>
        <w:pageBreakBefore w:val="0"/>
        <w:widowControl w:val="0"/>
        <w:kinsoku/>
        <w:wordWrap/>
        <w:overflowPunct w:val="0"/>
        <w:topLinePunct w:val="0"/>
        <w:autoSpaceDE/>
        <w:autoSpaceDN/>
        <w:bidi w:val="0"/>
        <w:adjustRightInd/>
        <w:snapToGrid/>
        <w:spacing w:line="240" w:lineRule="exact"/>
        <w:ind w:left="0" w:leftChars="0" w:right="0" w:rightChars="0"/>
        <w:textAlignment w:val="auto"/>
        <w:rPr>
          <w:sz w:val="24"/>
        </w:rPr>
      </w:pPr>
    </w:p>
    <w:p>
      <w:pPr>
        <w:pageBreakBefore w:val="0"/>
        <w:kinsoku/>
        <w:wordWrap/>
        <w:overflowPunct w:val="0"/>
        <w:topLinePunct w:val="0"/>
        <w:bidi w:val="0"/>
        <w:ind w:right="0" w:rightChars="0" w:firstLine="640" w:firstLineChars="200"/>
        <w:rPr>
          <w:rFonts w:hint="eastAsia" w:ascii="仿宋_GB2312" w:eastAsia="仿宋_GB2312"/>
          <w:sz w:val="32"/>
          <w:szCs w:val="32"/>
        </w:rPr>
      </w:pPr>
      <w:r>
        <w:rPr>
          <w:rFonts w:hint="eastAsia" w:ascii="仿宋_GB2312" w:eastAsia="仿宋_GB2312"/>
          <w:sz w:val="32"/>
          <w:szCs w:val="32"/>
          <w:lang w:eastAsia="zh-CN"/>
        </w:rPr>
        <w:t>抚顺市</w:t>
      </w:r>
      <w:r>
        <w:rPr>
          <w:rFonts w:hint="eastAsia" w:ascii="仿宋_GB2312" w:eastAsia="仿宋_GB2312"/>
          <w:sz w:val="32"/>
          <w:szCs w:val="32"/>
        </w:rPr>
        <w:t>望花区国民经济和社会发展第十三个五年（2016—2020年）规划纲要，根据</w:t>
      </w:r>
      <w:r>
        <w:rPr>
          <w:rFonts w:hint="eastAsia" w:ascii="仿宋_GB2312" w:eastAsia="仿宋_GB2312"/>
          <w:sz w:val="32"/>
          <w:szCs w:val="32"/>
          <w:lang w:eastAsia="zh-CN"/>
        </w:rPr>
        <w:t>中共中央十八届五中全会《</w:t>
      </w:r>
      <w:r>
        <w:rPr>
          <w:rFonts w:hint="eastAsia" w:ascii="仿宋_GB2312" w:eastAsia="仿宋_GB2312"/>
          <w:sz w:val="32"/>
          <w:szCs w:val="32"/>
        </w:rPr>
        <w:t>关于制定国民经济和社会发展第十三个五年规划的建议</w:t>
      </w:r>
      <w:r>
        <w:rPr>
          <w:rFonts w:hint="eastAsia" w:ascii="仿宋_GB2312" w:eastAsia="仿宋_GB2312"/>
          <w:sz w:val="32"/>
          <w:szCs w:val="32"/>
          <w:lang w:eastAsia="zh-CN"/>
        </w:rPr>
        <w:t>》和</w:t>
      </w:r>
      <w:r>
        <w:rPr>
          <w:rFonts w:hint="eastAsia" w:ascii="仿宋_GB2312" w:eastAsia="仿宋_GB2312"/>
          <w:sz w:val="32"/>
          <w:szCs w:val="32"/>
        </w:rPr>
        <w:t>《国家发改委关于“十三五”市县经济社会发展规划改革创新的指导意见》</w:t>
      </w:r>
      <w:r>
        <w:rPr>
          <w:rFonts w:hint="eastAsia" w:ascii="仿宋_GB2312" w:eastAsia="仿宋_GB2312"/>
          <w:sz w:val="32"/>
          <w:szCs w:val="32"/>
          <w:lang w:eastAsia="zh-CN"/>
        </w:rPr>
        <w:t>以及</w:t>
      </w:r>
      <w:r>
        <w:rPr>
          <w:rFonts w:hint="eastAsia" w:ascii="仿宋_GB2312" w:eastAsia="仿宋_GB2312"/>
          <w:sz w:val="32"/>
          <w:szCs w:val="32"/>
        </w:rPr>
        <w:t>省、市、区委关于国民经济和社会发展第十三个五年规划建议编制，是全面贯彻落实党的十八届三中、四中、五中全会精神、推动区域经济转型发展和全面建成小康社会的总体规划，是未来五年我区经济社会发展的宏伟蓝图，是引领全区人民共同奋斗的行动纲领。</w:t>
      </w: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Style w:val="2"/>
        <w:pageBreakBefore w:val="0"/>
        <w:widowControl w:val="0"/>
        <w:kinsoku/>
        <w:wordWrap/>
        <w:topLinePunct w:val="0"/>
        <w:autoSpaceDE/>
        <w:autoSpaceDN/>
        <w:bidi w:val="0"/>
        <w:adjustRightInd/>
        <w:snapToGrid/>
        <w:spacing w:line="240" w:lineRule="exact"/>
        <w:ind w:left="0" w:leftChars="0" w:right="0" w:rightChars="0" w:firstLine="0" w:firstLineChars="0"/>
        <w:textAlignment w:val="auto"/>
        <w:rPr>
          <w:rFonts w:hint="eastAsia"/>
        </w:rPr>
      </w:pPr>
      <w:bookmarkStart w:id="1" w:name="_Toc32571"/>
      <w:r>
        <w:rPr>
          <w:rFonts w:hint="eastAsia"/>
        </w:rPr>
        <w:t>第一章  发展基础和编制背景</w:t>
      </w:r>
      <w:bookmarkEnd w:id="1"/>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rPr>
      </w:pPr>
    </w:p>
    <w:p>
      <w:pPr>
        <w:pStyle w:val="3"/>
        <w:pageBreakBefore w:val="0"/>
        <w:widowControl w:val="0"/>
        <w:kinsoku/>
        <w:wordWrap/>
        <w:topLinePunct w:val="0"/>
        <w:autoSpaceDE/>
        <w:autoSpaceDN/>
        <w:bidi w:val="0"/>
        <w:adjustRightInd/>
        <w:snapToGrid/>
        <w:spacing w:line="240" w:lineRule="exact"/>
        <w:ind w:left="0" w:leftChars="0" w:right="0" w:rightChars="0" w:firstLine="0" w:firstLineChars="0"/>
        <w:textAlignment w:val="auto"/>
        <w:rPr>
          <w:rFonts w:hint="eastAsia"/>
        </w:rPr>
      </w:pPr>
      <w:bookmarkStart w:id="2" w:name="_Toc19405"/>
      <w:r>
        <w:rPr>
          <w:rFonts w:hint="eastAsia"/>
        </w:rPr>
        <w:t xml:space="preserve">第一节 </w:t>
      </w:r>
      <w:r>
        <w:rPr>
          <w:rFonts w:hint="eastAsia"/>
          <w:lang w:val="en-US" w:eastAsia="zh-CN"/>
        </w:rPr>
        <w:t xml:space="preserve"> </w:t>
      </w:r>
      <w:r>
        <w:rPr>
          <w:rFonts w:hint="eastAsia"/>
        </w:rPr>
        <w:t>发展基础</w:t>
      </w:r>
      <w:bookmarkEnd w:id="2"/>
    </w:p>
    <w:p>
      <w:pPr>
        <w:pageBreakBefore w:val="0"/>
        <w:kinsoku/>
        <w:wordWrap/>
        <w:overflowPunct w:val="0"/>
        <w:topLinePunct w:val="0"/>
        <w:bidi w:val="0"/>
        <w:ind w:right="0" w:rightChars="0"/>
        <w:rPr>
          <w:rFonts w:hint="eastAsia" w:ascii="仿宋_GB2312" w:eastAsia="仿宋_GB2312"/>
          <w:sz w:val="24"/>
          <w:szCs w:val="24"/>
        </w:rPr>
      </w:pP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十二五”时期，在区委、区政府的正确领导下，全区上下积极应对国际金融危机带来的严重影响和国内外纷繁复杂的形势变化，抢抓机遇，有效克服经济运行中出现的不稳定因素，深入贯彻落实科学发展观，坚持改革开放，积极适应国家宏观政策变化，努力探索具有望花特色的</w:t>
      </w:r>
      <w:r>
        <w:rPr>
          <w:rFonts w:hint="eastAsia" w:ascii="仿宋_GB2312" w:eastAsia="仿宋_GB2312"/>
          <w:sz w:val="32"/>
          <w:szCs w:val="32"/>
          <w:lang w:eastAsia="zh-CN"/>
        </w:rPr>
        <w:t>健康</w:t>
      </w:r>
      <w:r>
        <w:rPr>
          <w:rFonts w:hint="eastAsia" w:ascii="仿宋_GB2312" w:eastAsia="仿宋_GB2312"/>
          <w:sz w:val="32"/>
          <w:szCs w:val="32"/>
        </w:rPr>
        <w:t>发展、科学发展、和谐发展之路，加快推进经济社会有序健康平稳发展，为我区“十三五”时期加快发展步伐，拓展发展空间创造了有利条件。</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rPr>
        <w:t>综合经济基础不断夯实。</w:t>
      </w:r>
      <w:r>
        <w:rPr>
          <w:rFonts w:hint="eastAsia" w:ascii="仿宋_GB2312" w:eastAsia="仿宋_GB2312"/>
          <w:sz w:val="32"/>
          <w:szCs w:val="32"/>
          <w:shd w:val="clear" w:color="auto" w:fill="auto"/>
        </w:rPr>
        <w:t>预计“十二五”期末，实现地区生产总值</w:t>
      </w:r>
      <w:r>
        <w:rPr>
          <w:rFonts w:hint="eastAsia" w:ascii="仿宋_GB2312" w:eastAsia="仿宋_GB2312"/>
          <w:sz w:val="32"/>
          <w:szCs w:val="32"/>
          <w:shd w:val="clear" w:color="auto" w:fill="auto"/>
          <w:lang w:val="en-US" w:eastAsia="zh-CN"/>
        </w:rPr>
        <w:t>128</w:t>
      </w:r>
      <w:r>
        <w:rPr>
          <w:rFonts w:hint="eastAsia" w:ascii="仿宋_GB2312" w:eastAsia="仿宋_GB2312"/>
          <w:sz w:val="32"/>
          <w:szCs w:val="32"/>
          <w:shd w:val="clear" w:color="auto" w:fill="auto"/>
        </w:rPr>
        <w:t>亿元；人均地区生产总值</w:t>
      </w:r>
      <w:r>
        <w:rPr>
          <w:rFonts w:hint="eastAsia" w:ascii="仿宋_GB2312" w:eastAsia="仿宋_GB2312"/>
          <w:sz w:val="32"/>
          <w:szCs w:val="32"/>
          <w:shd w:val="clear" w:color="auto" w:fill="auto"/>
          <w:lang w:eastAsia="zh-CN"/>
        </w:rPr>
        <w:t>达到</w:t>
      </w:r>
      <w:r>
        <w:rPr>
          <w:rFonts w:hint="eastAsia" w:ascii="仿宋_GB2312" w:eastAsia="仿宋_GB2312"/>
          <w:sz w:val="32"/>
          <w:szCs w:val="32"/>
          <w:shd w:val="clear" w:color="auto" w:fill="auto"/>
          <w:lang w:val="en-US" w:eastAsia="zh-CN"/>
        </w:rPr>
        <w:t>6900</w:t>
      </w:r>
      <w:r>
        <w:rPr>
          <w:rFonts w:hint="eastAsia" w:ascii="仿宋_GB2312" w:eastAsia="仿宋_GB2312"/>
          <w:sz w:val="32"/>
          <w:szCs w:val="32"/>
          <w:shd w:val="clear" w:color="auto" w:fill="auto"/>
        </w:rPr>
        <w:t>美元。一般公共预算收入</w:t>
      </w:r>
      <w:r>
        <w:rPr>
          <w:rFonts w:hint="eastAsia" w:ascii="仿宋_GB2312" w:eastAsia="仿宋_GB2312"/>
          <w:sz w:val="32"/>
          <w:szCs w:val="32"/>
          <w:shd w:val="clear" w:color="auto" w:fill="auto"/>
          <w:lang w:eastAsia="zh-CN"/>
        </w:rPr>
        <w:t>累计</w:t>
      </w:r>
      <w:r>
        <w:rPr>
          <w:rFonts w:hint="eastAsia" w:ascii="仿宋_GB2312" w:eastAsia="仿宋_GB2312"/>
          <w:sz w:val="32"/>
          <w:szCs w:val="32"/>
          <w:shd w:val="clear" w:color="auto" w:fill="auto"/>
        </w:rPr>
        <w:t>完成</w:t>
      </w:r>
      <w:r>
        <w:rPr>
          <w:rFonts w:hint="eastAsia" w:ascii="仿宋_GB2312" w:eastAsia="仿宋_GB2312"/>
          <w:sz w:val="32"/>
          <w:szCs w:val="32"/>
          <w:shd w:val="clear" w:color="auto" w:fill="auto"/>
          <w:lang w:val="en-US" w:eastAsia="zh-CN"/>
        </w:rPr>
        <w:t>47.26</w:t>
      </w:r>
      <w:r>
        <w:rPr>
          <w:rFonts w:hint="eastAsia" w:ascii="仿宋_GB2312" w:eastAsia="仿宋_GB2312"/>
          <w:sz w:val="32"/>
          <w:szCs w:val="32"/>
          <w:shd w:val="clear" w:color="auto" w:fill="auto"/>
        </w:rPr>
        <w:t>亿元；全社会固定资产投资累计完成3</w:t>
      </w:r>
      <w:r>
        <w:rPr>
          <w:rFonts w:hint="eastAsia" w:ascii="仿宋_GB2312" w:eastAsia="仿宋_GB2312"/>
          <w:sz w:val="32"/>
          <w:szCs w:val="32"/>
          <w:shd w:val="clear" w:color="auto" w:fill="auto"/>
          <w:lang w:val="en-US" w:eastAsia="zh-CN"/>
        </w:rPr>
        <w:t>10</w:t>
      </w:r>
      <w:r>
        <w:rPr>
          <w:rFonts w:hint="eastAsia" w:ascii="仿宋_GB2312" w:eastAsia="仿宋_GB2312"/>
          <w:sz w:val="32"/>
          <w:szCs w:val="32"/>
          <w:shd w:val="clear" w:color="auto" w:fill="auto"/>
        </w:rPr>
        <w:t>亿元。</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rPr>
        <w:t>各项改革扎实有效推进。</w:t>
      </w:r>
      <w:r>
        <w:rPr>
          <w:rFonts w:hint="eastAsia" w:ascii="仿宋_GB2312" w:eastAsia="仿宋_GB2312"/>
          <w:sz w:val="32"/>
          <w:szCs w:val="32"/>
        </w:rPr>
        <w:t>不断加快简政放权和政府职能转变步伐，进一步深化商事制度、财税、金融等领域改革，完善促进非公经济发展机制，深化工商登记制度改革，加快培育市场主体，激发经济发展活力，五年累计完成网上审批各类行政事项51211件。进一步深化政府机构改革，科学界定各部门职能,理顺职责关系,综合设置部门内设机构,严格控制人员编制和领导职数</w:t>
      </w:r>
      <w:r>
        <w:rPr>
          <w:rFonts w:hint="eastAsia" w:ascii="仿宋_GB2312" w:eastAsia="仿宋_GB2312"/>
          <w:sz w:val="32"/>
          <w:szCs w:val="32"/>
          <w:lang w:eastAsia="zh-CN"/>
        </w:rPr>
        <w:t>，成立了望花区公务用车制度改革领导小组，并完成了基础数据采集等前期准备工作</w:t>
      </w:r>
      <w:r>
        <w:rPr>
          <w:rFonts w:hint="eastAsia" w:ascii="仿宋_GB2312" w:eastAsia="仿宋_GB2312"/>
          <w:sz w:val="32"/>
          <w:szCs w:val="32"/>
        </w:rPr>
        <w:t>。深化行政审批制度、机关事业单位养老保险制度改革，着力构建有利于科学发展的体制机制。认真贯彻落实《预算法》，推行全面规范、公开透明的预算制度和预算执行绩效评估制度。</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rPr>
        <w:t>产业结构调整加快升级。</w:t>
      </w:r>
      <w:r>
        <w:rPr>
          <w:rFonts w:hint="eastAsia" w:ascii="仿宋_GB2312" w:eastAsia="仿宋_GB2312"/>
          <w:sz w:val="32"/>
          <w:szCs w:val="32"/>
        </w:rPr>
        <w:t>工业经济量增质提，加快产业技术创新和“两化”深度融合，努力打造企业服务平台，着力推动产业结构优化升级，为经济稳增长奠定了良好的基础。进一步夯实传统服务业基础，大力发展互联网+、金融、电商等现代服务业，为“大众创业、万众创新”提供了强大的智力支持。农业产业化初具规模，设施农业、高效农业稳步提升。</w:t>
      </w:r>
      <w:r>
        <w:rPr>
          <w:rFonts w:hint="eastAsia" w:ascii="仿宋_GB2312" w:eastAsia="仿宋_GB2312"/>
          <w:color w:val="auto"/>
          <w:sz w:val="32"/>
          <w:szCs w:val="32"/>
        </w:rPr>
        <w:t>民营经济占GDP比重达到</w:t>
      </w:r>
      <w:r>
        <w:rPr>
          <w:rFonts w:hint="eastAsia" w:ascii="仿宋_GB2312" w:eastAsia="仿宋_GB2312"/>
          <w:color w:val="auto"/>
          <w:sz w:val="32"/>
          <w:szCs w:val="32"/>
          <w:lang w:val="en-US" w:eastAsia="zh-CN"/>
        </w:rPr>
        <w:t>75</w:t>
      </w:r>
      <w:r>
        <w:rPr>
          <w:rFonts w:hint="eastAsia" w:ascii="仿宋_GB2312" w:eastAsia="仿宋_GB2312"/>
          <w:color w:val="auto"/>
          <w:sz w:val="32"/>
          <w:szCs w:val="32"/>
        </w:rPr>
        <w:t>%。</w:t>
      </w:r>
      <w:r>
        <w:rPr>
          <w:rFonts w:hint="eastAsia" w:ascii="仿宋_GB2312" w:eastAsia="仿宋_GB2312"/>
          <w:sz w:val="32"/>
          <w:szCs w:val="32"/>
        </w:rPr>
        <w:t>三次产业结构由2010年的0.</w:t>
      </w:r>
      <w:r>
        <w:rPr>
          <w:rFonts w:hint="eastAsia" w:ascii="仿宋_GB2312" w:eastAsia="仿宋_GB2312"/>
          <w:sz w:val="32"/>
          <w:szCs w:val="32"/>
          <w:lang w:val="en-US" w:eastAsia="zh-CN"/>
        </w:rPr>
        <w:t>7</w:t>
      </w:r>
      <w:r>
        <w:rPr>
          <w:rFonts w:hint="eastAsia" w:ascii="仿宋_GB2312" w:eastAsia="仿宋_GB2312"/>
          <w:sz w:val="32"/>
          <w:szCs w:val="32"/>
        </w:rPr>
        <w:t>:75.</w:t>
      </w:r>
      <w:r>
        <w:rPr>
          <w:rFonts w:hint="eastAsia" w:ascii="仿宋_GB2312" w:eastAsia="仿宋_GB2312"/>
          <w:sz w:val="32"/>
          <w:szCs w:val="32"/>
          <w:lang w:val="en-US" w:eastAsia="zh-CN"/>
        </w:rPr>
        <w:t>1</w:t>
      </w:r>
      <w:r>
        <w:rPr>
          <w:rFonts w:hint="eastAsia" w:ascii="仿宋_GB2312" w:eastAsia="仿宋_GB2312"/>
          <w:sz w:val="32"/>
          <w:szCs w:val="32"/>
        </w:rPr>
        <w:t>:24</w:t>
      </w:r>
      <w:r>
        <w:rPr>
          <w:rFonts w:hint="eastAsia" w:ascii="仿宋_GB2312" w:eastAsia="仿宋_GB2312"/>
          <w:sz w:val="32"/>
          <w:szCs w:val="32"/>
          <w:lang w:val="en-US" w:eastAsia="zh-CN"/>
        </w:rPr>
        <w:t>.2</w:t>
      </w:r>
      <w:r>
        <w:rPr>
          <w:rFonts w:hint="eastAsia" w:ascii="仿宋_GB2312" w:eastAsia="仿宋_GB2312"/>
          <w:sz w:val="32"/>
          <w:szCs w:val="32"/>
        </w:rPr>
        <w:t>调整为2015年的1：</w:t>
      </w:r>
      <w:r>
        <w:rPr>
          <w:rFonts w:hint="eastAsia" w:ascii="仿宋_GB2312" w:eastAsia="仿宋_GB2312"/>
          <w:sz w:val="32"/>
          <w:szCs w:val="32"/>
          <w:lang w:val="en-US" w:eastAsia="zh-CN"/>
        </w:rPr>
        <w:t>57.8</w:t>
      </w:r>
      <w:r>
        <w:rPr>
          <w:rFonts w:hint="eastAsia" w:ascii="仿宋_GB2312" w:eastAsia="仿宋_GB2312"/>
          <w:sz w:val="32"/>
          <w:szCs w:val="32"/>
        </w:rPr>
        <w:t>：</w:t>
      </w:r>
      <w:r>
        <w:rPr>
          <w:rFonts w:hint="eastAsia" w:ascii="仿宋_GB2312" w:eastAsia="仿宋_GB2312"/>
          <w:sz w:val="32"/>
          <w:szCs w:val="32"/>
          <w:lang w:val="en-US" w:eastAsia="zh-CN"/>
        </w:rPr>
        <w:t>41.2</w:t>
      </w:r>
      <w:r>
        <w:rPr>
          <w:rFonts w:hint="eastAsia" w:ascii="仿宋_GB2312" w:eastAsia="仿宋_GB2312"/>
          <w:sz w:val="32"/>
          <w:szCs w:val="32"/>
        </w:rPr>
        <w:t>。</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rPr>
        <w:t>区位功能优势显著提升。</w:t>
      </w:r>
      <w:r>
        <w:rPr>
          <w:rFonts w:hint="eastAsia" w:ascii="仿宋_GB2312" w:eastAsia="仿宋_GB2312"/>
          <w:sz w:val="32"/>
          <w:szCs w:val="32"/>
        </w:rPr>
        <w:t>全面完成了新一轮区域经济规划调整，构建了“一城两区”发展格局。中心城区通过完善基础设施、更新改造，进一步释放发展空间，推动了城市功能内涵品质提升，逐步形成了集百货商贸、金融服务、旅游文化、休闲娱乐为一体的商贸商务中心。抚顺望花经济开发区，规划面积27.55平方公里，集工业、物流、商住等功能为一体，完成了总体规划评审、</w:t>
      </w:r>
      <w:r>
        <w:rPr>
          <w:rFonts w:hint="eastAsia" w:ascii="仿宋_GB2312" w:eastAsia="仿宋_GB2312"/>
          <w:sz w:val="32"/>
          <w:szCs w:val="32"/>
          <w:lang w:eastAsia="zh-CN"/>
        </w:rPr>
        <w:t>环境影响评价</w:t>
      </w:r>
      <w:r>
        <w:rPr>
          <w:rFonts w:hint="eastAsia" w:ascii="仿宋_GB2312" w:eastAsia="仿宋_GB2312"/>
          <w:sz w:val="32"/>
          <w:szCs w:val="32"/>
        </w:rPr>
        <w:t>、</w:t>
      </w:r>
      <w:r>
        <w:rPr>
          <w:rFonts w:hint="eastAsia" w:ascii="仿宋_GB2312" w:eastAsia="仿宋_GB2312"/>
          <w:sz w:val="32"/>
          <w:szCs w:val="32"/>
          <w:lang w:eastAsia="zh-CN"/>
        </w:rPr>
        <w:t>主导</w:t>
      </w:r>
      <w:r>
        <w:rPr>
          <w:rFonts w:hint="eastAsia" w:ascii="仿宋_GB2312" w:eastAsia="仿宋_GB2312"/>
          <w:sz w:val="32"/>
          <w:szCs w:val="32"/>
        </w:rPr>
        <w:t>产业和局部</w:t>
      </w:r>
      <w:r>
        <w:rPr>
          <w:rFonts w:hint="eastAsia" w:ascii="仿宋_GB2312" w:eastAsia="仿宋_GB2312"/>
          <w:sz w:val="32"/>
          <w:szCs w:val="32"/>
          <w:lang w:eastAsia="zh-CN"/>
        </w:rPr>
        <w:t>控制性详细规划</w:t>
      </w:r>
      <w:r>
        <w:rPr>
          <w:rFonts w:hint="eastAsia" w:ascii="仿宋_GB2312" w:eastAsia="仿宋_GB2312"/>
          <w:sz w:val="32"/>
          <w:szCs w:val="32"/>
        </w:rPr>
        <w:t>。西部现代服务业集聚区，完成了总体规划设计，以现代服务业为主体的开放型经济发展格局初步形成，进一步加快了与沈阳经济区和沈抚新城产城融合的进程。</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rPr>
        <w:t>项目建设取得可喜成果。</w:t>
      </w:r>
      <w:r>
        <w:rPr>
          <w:rFonts w:hint="eastAsia" w:ascii="仿宋_GB2312" w:eastAsia="仿宋_GB2312"/>
          <w:sz w:val="32"/>
          <w:szCs w:val="32"/>
        </w:rPr>
        <w:t>加强招商引资工作创新，完善招商体系，打造优良的招商环境，健全招商服务机制，实现了从招商引资到项目落地全过程的“无缝”对接。大力推进项目建设，组建了全市首家政产学研联盟，积极开展“千人走百企”活动，认真落实“五个一”工作机制，深入挖掘企业内部潜力，依法落实中小企业扶持政策，有效提高项目抗风险能力。“十二五”期间共引进5000万以上大项目</w:t>
      </w:r>
      <w:r>
        <w:rPr>
          <w:rFonts w:hint="eastAsia" w:ascii="仿宋_GB2312" w:eastAsia="仿宋_GB2312"/>
          <w:sz w:val="32"/>
          <w:szCs w:val="32"/>
          <w:lang w:val="en-US" w:eastAsia="zh-CN"/>
        </w:rPr>
        <w:t>164</w:t>
      </w:r>
      <w:r>
        <w:rPr>
          <w:rFonts w:hint="eastAsia" w:ascii="仿宋_GB2312" w:eastAsia="仿宋_GB2312"/>
          <w:sz w:val="32"/>
          <w:szCs w:val="32"/>
        </w:rPr>
        <w:t>个，</w:t>
      </w:r>
      <w:r>
        <w:rPr>
          <w:rFonts w:hint="eastAsia" w:ascii="仿宋_GB2312" w:eastAsia="仿宋_GB2312"/>
          <w:sz w:val="32"/>
          <w:szCs w:val="32"/>
          <w:lang w:eastAsia="zh-CN"/>
        </w:rPr>
        <w:t>实现总投资</w:t>
      </w:r>
      <w:r>
        <w:rPr>
          <w:rFonts w:hint="eastAsia" w:ascii="仿宋_GB2312" w:eastAsia="仿宋_GB2312"/>
          <w:sz w:val="32"/>
          <w:szCs w:val="32"/>
          <w:lang w:val="en-US" w:eastAsia="zh-CN"/>
        </w:rPr>
        <w:t>346.6</w:t>
      </w:r>
      <w:r>
        <w:rPr>
          <w:rFonts w:hint="eastAsia" w:ascii="仿宋_GB2312" w:eastAsia="仿宋_GB2312"/>
          <w:sz w:val="32"/>
          <w:szCs w:val="32"/>
        </w:rPr>
        <w:t>亿元。</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rPr>
        <w:t>生态环境建设日益增强。</w:t>
      </w:r>
      <w:r>
        <w:rPr>
          <w:rFonts w:hint="eastAsia" w:ascii="仿宋_GB2312" w:eastAsia="仿宋_GB2312"/>
          <w:sz w:val="32"/>
          <w:szCs w:val="32"/>
        </w:rPr>
        <w:t>城乡基础设施不断完善，城市综合功能和承载能力进一步增强，完成城市更新改造项目27个，</w:t>
      </w:r>
      <w:r>
        <w:rPr>
          <w:rFonts w:hint="eastAsia" w:ascii="仿宋_GB2312" w:eastAsia="仿宋_GB2312"/>
          <w:color w:val="auto"/>
          <w:sz w:val="32"/>
          <w:szCs w:val="32"/>
        </w:rPr>
        <w:t>住宅</w:t>
      </w:r>
      <w:r>
        <w:rPr>
          <w:rFonts w:hint="eastAsia" w:ascii="仿宋_GB2312" w:eastAsia="仿宋_GB2312"/>
          <w:color w:val="auto"/>
          <w:sz w:val="32"/>
          <w:szCs w:val="32"/>
          <w:lang w:eastAsia="zh-CN"/>
        </w:rPr>
        <w:t>建筑</w:t>
      </w:r>
      <w:r>
        <w:rPr>
          <w:rFonts w:hint="eastAsia" w:ascii="仿宋_GB2312" w:eastAsia="仿宋_GB2312"/>
          <w:color w:val="auto"/>
          <w:sz w:val="32"/>
          <w:szCs w:val="32"/>
        </w:rPr>
        <w:t>面积达到人均</w:t>
      </w:r>
      <w:r>
        <w:rPr>
          <w:rFonts w:hint="eastAsia" w:ascii="仿宋_GB2312" w:eastAsia="仿宋_GB2312"/>
          <w:color w:val="auto"/>
          <w:sz w:val="32"/>
          <w:szCs w:val="32"/>
          <w:lang w:val="en-US" w:eastAsia="zh-CN"/>
        </w:rPr>
        <w:t>32</w:t>
      </w:r>
      <w:r>
        <w:rPr>
          <w:rFonts w:hint="eastAsia" w:ascii="仿宋_GB2312" w:eastAsia="仿宋_GB2312"/>
          <w:color w:val="auto"/>
          <w:sz w:val="32"/>
          <w:szCs w:val="32"/>
        </w:rPr>
        <w:t>平方米。生态建设卓有成效，青山碧水蓝天工程扎实推进，城市绿化覆盖率达到</w:t>
      </w:r>
      <w:r>
        <w:rPr>
          <w:rFonts w:hint="eastAsia" w:ascii="仿宋_GB2312" w:eastAsia="仿宋_GB2312"/>
          <w:color w:val="auto"/>
          <w:sz w:val="32"/>
          <w:szCs w:val="32"/>
          <w:lang w:val="en-US" w:eastAsia="zh-CN"/>
        </w:rPr>
        <w:t>23</w:t>
      </w:r>
      <w:r>
        <w:rPr>
          <w:rFonts w:hint="eastAsia" w:ascii="仿宋_GB2312" w:eastAsia="仿宋_GB2312"/>
          <w:color w:val="auto"/>
          <w:sz w:val="32"/>
          <w:szCs w:val="32"/>
        </w:rPr>
        <w:t>%，人均公共绿地面积达到</w:t>
      </w:r>
      <w:r>
        <w:rPr>
          <w:rFonts w:hint="eastAsia" w:ascii="仿宋_GB2312" w:eastAsia="仿宋_GB2312"/>
          <w:color w:val="auto"/>
          <w:sz w:val="32"/>
          <w:szCs w:val="32"/>
          <w:lang w:val="en-US" w:eastAsia="zh-CN"/>
        </w:rPr>
        <w:t>6.8</w:t>
      </w:r>
      <w:r>
        <w:rPr>
          <w:rFonts w:hint="eastAsia" w:ascii="仿宋_GB2312" w:eastAsia="仿宋_GB2312"/>
          <w:color w:val="auto"/>
          <w:sz w:val="32"/>
          <w:szCs w:val="32"/>
        </w:rPr>
        <w:t>平方米，</w:t>
      </w:r>
      <w:r>
        <w:rPr>
          <w:rFonts w:hint="eastAsia" w:ascii="仿宋_GB2312" w:eastAsia="仿宋_GB2312"/>
          <w:color w:val="auto"/>
          <w:sz w:val="32"/>
          <w:szCs w:val="32"/>
          <w:shd w:val="clear" w:color="auto" w:fill="auto"/>
        </w:rPr>
        <w:t>空气质量优良天数</w:t>
      </w:r>
      <w:r>
        <w:rPr>
          <w:rFonts w:hint="eastAsia" w:ascii="仿宋_GB2312" w:eastAsia="仿宋_GB2312"/>
          <w:color w:val="auto"/>
          <w:sz w:val="32"/>
          <w:szCs w:val="32"/>
          <w:shd w:val="clear" w:color="auto" w:fill="auto"/>
          <w:lang w:eastAsia="zh-CN"/>
        </w:rPr>
        <w:t>按照新标准</w:t>
      </w:r>
      <w:r>
        <w:rPr>
          <w:rFonts w:hint="eastAsia" w:ascii="仿宋_GB2312" w:eastAsia="仿宋_GB2312"/>
          <w:color w:val="auto"/>
          <w:sz w:val="32"/>
          <w:szCs w:val="32"/>
          <w:shd w:val="clear" w:color="auto" w:fill="auto"/>
        </w:rPr>
        <w:t>达到2</w:t>
      </w:r>
      <w:r>
        <w:rPr>
          <w:rFonts w:hint="eastAsia" w:ascii="仿宋_GB2312" w:eastAsia="仿宋_GB2312"/>
          <w:color w:val="auto"/>
          <w:sz w:val="32"/>
          <w:szCs w:val="32"/>
          <w:shd w:val="clear" w:color="auto" w:fill="auto"/>
          <w:lang w:val="en-US" w:eastAsia="zh-CN"/>
        </w:rPr>
        <w:t>3</w:t>
      </w:r>
      <w:r>
        <w:rPr>
          <w:rFonts w:hint="eastAsia" w:ascii="仿宋_GB2312" w:eastAsia="仿宋_GB2312"/>
          <w:color w:val="auto"/>
          <w:sz w:val="32"/>
          <w:szCs w:val="32"/>
          <w:shd w:val="clear" w:color="auto" w:fill="auto"/>
        </w:rPr>
        <w:t>0天/年，</w:t>
      </w:r>
      <w:r>
        <w:rPr>
          <w:rFonts w:hint="eastAsia" w:ascii="仿宋_GB2312" w:eastAsia="仿宋_GB2312"/>
          <w:sz w:val="32"/>
          <w:szCs w:val="32"/>
        </w:rPr>
        <w:t>境内支流河水体质量达到了四类水体标准。新农村建设步伐不断加快，</w:t>
      </w:r>
      <w:r>
        <w:rPr>
          <w:rFonts w:hint="eastAsia" w:ascii="仿宋_GB2312" w:eastAsia="仿宋_GB2312"/>
          <w:sz w:val="32"/>
          <w:szCs w:val="32"/>
          <w:lang w:val="en-US" w:eastAsia="zh-CN"/>
        </w:rPr>
        <w:t>全面完成了沈环南线塔峪段8.2公里两侧环境整治</w:t>
      </w:r>
      <w:r>
        <w:rPr>
          <w:rFonts w:hint="eastAsia" w:ascii="仿宋_GB2312" w:eastAsia="仿宋_GB2312"/>
          <w:sz w:val="32"/>
          <w:szCs w:val="32"/>
        </w:rPr>
        <w:t>，硬化</w:t>
      </w:r>
      <w:r>
        <w:rPr>
          <w:rFonts w:hint="eastAsia" w:ascii="仿宋_GB2312" w:eastAsia="仿宋_GB2312"/>
          <w:sz w:val="32"/>
          <w:szCs w:val="32"/>
          <w:lang w:eastAsia="zh-CN"/>
        </w:rPr>
        <w:t>维修乡</w:t>
      </w:r>
      <w:r>
        <w:rPr>
          <w:rFonts w:hint="eastAsia" w:ascii="仿宋_GB2312" w:eastAsia="仿宋_GB2312"/>
          <w:sz w:val="32"/>
          <w:szCs w:val="32"/>
        </w:rPr>
        <w:t>村级路</w:t>
      </w:r>
      <w:r>
        <w:rPr>
          <w:rFonts w:hint="eastAsia" w:ascii="仿宋_GB2312" w:eastAsia="仿宋_GB2312"/>
          <w:sz w:val="32"/>
          <w:szCs w:val="32"/>
          <w:lang w:val="en-US" w:eastAsia="zh-CN"/>
        </w:rPr>
        <w:t>26.8</w:t>
      </w:r>
      <w:r>
        <w:rPr>
          <w:rFonts w:hint="eastAsia" w:ascii="仿宋_GB2312" w:eastAsia="仿宋_GB2312"/>
          <w:sz w:val="32"/>
          <w:szCs w:val="32"/>
        </w:rPr>
        <w:t>公里，</w:t>
      </w:r>
      <w:r>
        <w:rPr>
          <w:rFonts w:hint="eastAsia" w:ascii="仿宋_GB2312" w:eastAsia="仿宋_GB2312"/>
          <w:sz w:val="32"/>
          <w:szCs w:val="32"/>
          <w:lang w:val="en-US" w:eastAsia="zh-CN"/>
        </w:rPr>
        <w:t>河道防护治理16.2公里</w:t>
      </w:r>
      <w:r>
        <w:rPr>
          <w:rFonts w:hint="eastAsia" w:ascii="仿宋_GB2312" w:eastAsia="仿宋_GB2312"/>
          <w:sz w:val="32"/>
          <w:szCs w:val="32"/>
        </w:rPr>
        <w:t>，退耕还林3600亩。</w:t>
      </w:r>
    </w:p>
    <w:p>
      <w:pPr>
        <w:pageBreakBefore w:val="0"/>
        <w:kinsoku/>
        <w:wordWrap/>
        <w:overflowPunct w:val="0"/>
        <w:topLinePunct w:val="0"/>
        <w:bidi w:val="0"/>
        <w:ind w:right="0" w:rightChars="0" w:firstLine="640" w:firstLineChars="200"/>
        <w:rPr>
          <w:rFonts w:hint="eastAsia" w:ascii="仿宋_GB2312" w:eastAsia="仿宋_GB2312"/>
          <w:sz w:val="32"/>
          <w:szCs w:val="32"/>
        </w:rPr>
      </w:pPr>
      <w:r>
        <w:rPr>
          <w:rFonts w:hint="eastAsia" w:ascii="仿宋_GB2312" w:eastAsia="仿宋_GB2312"/>
          <w:b/>
          <w:bCs/>
          <w:sz w:val="32"/>
          <w:szCs w:val="32"/>
        </w:rPr>
        <w:t>民生保障水平显著提高。</w:t>
      </w:r>
      <w:r>
        <w:rPr>
          <w:rFonts w:hint="eastAsia" w:ascii="仿宋_GB2312" w:eastAsia="仿宋_GB2312"/>
          <w:sz w:val="32"/>
          <w:szCs w:val="32"/>
        </w:rPr>
        <w:t>义务教育均衡发展，累计投资2.76亿元对区属20所中小学进行了重新翻建、维修改造和硬绿化环境建设，为17所学校铺设了橡胶操场，建成了8个体育馆，对教学设备进行了全面更新</w:t>
      </w:r>
      <w:r>
        <w:rPr>
          <w:rFonts w:hint="eastAsia" w:ascii="仿宋_GB2312" w:eastAsia="仿宋_GB2312"/>
          <w:sz w:val="32"/>
          <w:szCs w:val="32"/>
          <w:lang w:eastAsia="zh-CN"/>
        </w:rPr>
        <w:t>；</w:t>
      </w:r>
      <w:r>
        <w:rPr>
          <w:rFonts w:hint="eastAsia" w:ascii="仿宋_GB2312" w:eastAsia="仿宋_GB2312"/>
          <w:sz w:val="32"/>
          <w:szCs w:val="32"/>
        </w:rPr>
        <w:t>顺利通过了国家义务教育发展基本均衡区和辽宁省基础教育强县市区验收评估。教学质量显著提升，教育教学实现了历史性的跨越。科技服务体系日趋完善，科技进步贡献率逐年提升，累计完成科技项目40项，各种科技服务平台及机构基本形成。医疗卫生服务体系日趋完善，每千常住人口拥有医疗卫生机构床位4.5</w:t>
      </w:r>
      <w:r>
        <w:rPr>
          <w:rFonts w:hint="eastAsia" w:ascii="仿宋_GB2312" w:eastAsia="仿宋_GB2312"/>
          <w:sz w:val="32"/>
          <w:szCs w:val="32"/>
          <w:lang w:val="en-US" w:eastAsia="zh-CN"/>
        </w:rPr>
        <w:t>3</w:t>
      </w:r>
      <w:r>
        <w:rPr>
          <w:rFonts w:hint="eastAsia" w:ascii="仿宋_GB2312" w:eastAsia="仿宋_GB2312"/>
          <w:sz w:val="32"/>
          <w:szCs w:val="32"/>
        </w:rPr>
        <w:t>张、执业（</w:t>
      </w:r>
      <w:r>
        <w:rPr>
          <w:rFonts w:hint="eastAsia" w:ascii="仿宋_GB2312" w:eastAsia="仿宋_GB2312"/>
          <w:sz w:val="32"/>
          <w:szCs w:val="32"/>
          <w:lang w:eastAsia="zh-CN"/>
        </w:rPr>
        <w:t>助理</w:t>
      </w:r>
      <w:r>
        <w:rPr>
          <w:rFonts w:hint="eastAsia" w:ascii="仿宋_GB2312" w:eastAsia="仿宋_GB2312"/>
          <w:sz w:val="32"/>
          <w:szCs w:val="32"/>
        </w:rPr>
        <w:t>）医师1.44名、注册护士1.88名；全面开展新型农村合作医疗工作，新农合医疗参合人数达1.76万人，参合率达到了常住人口的99%；全面实行了乡村卫生</w:t>
      </w:r>
      <w:r>
        <w:rPr>
          <w:rFonts w:hint="eastAsia" w:ascii="仿宋_GB2312" w:eastAsia="仿宋_GB2312"/>
          <w:sz w:val="32"/>
          <w:szCs w:val="32"/>
          <w:lang w:eastAsia="zh-CN"/>
        </w:rPr>
        <w:t>室</w:t>
      </w:r>
      <w:r>
        <w:rPr>
          <w:rFonts w:hint="eastAsia" w:ascii="仿宋_GB2312" w:eastAsia="仿宋_GB2312"/>
          <w:sz w:val="32"/>
          <w:szCs w:val="32"/>
        </w:rPr>
        <w:t>一体化管理和基本药物制度。社会保障体系不断加强，通过提高救助标准，开展“阳光低保”等专项行动，确保了城乡困难群体的基本生活需要。建立了统筹城乡的社会保障体系，城乡居民参保意识有了较大提高；坚持实施就业创新和人才聚集优先战略，就业创业政策体系更加完善，就业工作卓有成效，连续五年走在全市前列。初步构成覆盖全区的公共文体服务网络，不断加强基层文体阵地建设，文化体育事业繁荣发展，建成省级文体书屋70家，开展广场文化活动1500场次。城</w:t>
      </w:r>
      <w:r>
        <w:rPr>
          <w:rFonts w:hint="eastAsia" w:ascii="仿宋_GB2312" w:eastAsia="仿宋_GB2312"/>
          <w:sz w:val="32"/>
          <w:szCs w:val="32"/>
          <w:lang w:eastAsia="zh-CN"/>
        </w:rPr>
        <w:t>镇</w:t>
      </w:r>
      <w:r>
        <w:rPr>
          <w:rFonts w:hint="eastAsia" w:ascii="仿宋_GB2312" w:eastAsia="仿宋_GB2312"/>
          <w:sz w:val="32"/>
          <w:szCs w:val="32"/>
        </w:rPr>
        <w:t>居民人</w:t>
      </w:r>
      <w:r>
        <w:rPr>
          <w:rFonts w:hint="eastAsia" w:ascii="仿宋_GB2312" w:eastAsia="仿宋_GB2312"/>
          <w:sz w:val="32"/>
          <w:szCs w:val="32"/>
          <w:lang w:eastAsia="zh-CN"/>
        </w:rPr>
        <w:t>均</w:t>
      </w:r>
      <w:r>
        <w:rPr>
          <w:rFonts w:hint="eastAsia" w:ascii="仿宋_GB2312" w:eastAsia="仿宋_GB2312"/>
          <w:sz w:val="32"/>
          <w:szCs w:val="32"/>
        </w:rPr>
        <w:t>可支配收入达到244</w:t>
      </w:r>
      <w:r>
        <w:rPr>
          <w:rFonts w:hint="eastAsia" w:ascii="仿宋_GB2312" w:eastAsia="仿宋_GB2312"/>
          <w:sz w:val="32"/>
          <w:szCs w:val="32"/>
          <w:lang w:val="en-US" w:eastAsia="zh-CN"/>
        </w:rPr>
        <w:t>00</w:t>
      </w:r>
      <w:r>
        <w:rPr>
          <w:rFonts w:hint="eastAsia" w:ascii="仿宋_GB2312" w:eastAsia="仿宋_GB2312"/>
          <w:sz w:val="32"/>
          <w:szCs w:val="32"/>
        </w:rPr>
        <w:t>元，年均增长16.9%；农民人均纯收入达到128</w:t>
      </w:r>
      <w:r>
        <w:rPr>
          <w:rFonts w:hint="eastAsia" w:ascii="仿宋_GB2312" w:eastAsia="仿宋_GB2312"/>
          <w:sz w:val="32"/>
          <w:szCs w:val="32"/>
          <w:lang w:val="en-US" w:eastAsia="zh-CN"/>
        </w:rPr>
        <w:t>40</w:t>
      </w:r>
      <w:r>
        <w:rPr>
          <w:rFonts w:hint="eastAsia" w:ascii="仿宋_GB2312" w:eastAsia="仿宋_GB2312"/>
          <w:sz w:val="32"/>
          <w:szCs w:val="32"/>
        </w:rPr>
        <w:t>元，年均增长</w:t>
      </w:r>
      <w:r>
        <w:rPr>
          <w:rFonts w:hint="eastAsia" w:ascii="仿宋_GB2312" w:eastAsia="仿宋_GB2312"/>
          <w:sz w:val="32"/>
          <w:szCs w:val="32"/>
          <w:lang w:val="en-US" w:eastAsia="zh-CN"/>
        </w:rPr>
        <w:t>13.4</w:t>
      </w:r>
      <w:r>
        <w:rPr>
          <w:rFonts w:hint="eastAsia" w:ascii="仿宋_GB2312" w:eastAsia="仿宋_GB2312"/>
          <w:sz w:val="32"/>
          <w:szCs w:val="32"/>
        </w:rPr>
        <w:t>%。</w:t>
      </w:r>
    </w:p>
    <w:tbl>
      <w:tblPr>
        <w:tblStyle w:val="11"/>
        <w:tblW w:w="8840" w:type="dxa"/>
        <w:tblInd w:w="0" w:type="dxa"/>
        <w:tblLayout w:type="fixed"/>
        <w:tblCellMar>
          <w:top w:w="15" w:type="dxa"/>
          <w:left w:w="15" w:type="dxa"/>
          <w:bottom w:w="15" w:type="dxa"/>
          <w:right w:w="15" w:type="dxa"/>
        </w:tblCellMar>
      </w:tblPr>
      <w:tblGrid>
        <w:gridCol w:w="635"/>
        <w:gridCol w:w="2139"/>
        <w:gridCol w:w="894"/>
        <w:gridCol w:w="736"/>
        <w:gridCol w:w="1010"/>
        <w:gridCol w:w="1258"/>
        <w:gridCol w:w="1007"/>
        <w:gridCol w:w="1161"/>
      </w:tblGrid>
      <w:tr>
        <w:tblPrEx>
          <w:tblLayout w:type="fixed"/>
          <w:tblCellMar>
            <w:top w:w="15" w:type="dxa"/>
            <w:left w:w="15" w:type="dxa"/>
            <w:bottom w:w="15" w:type="dxa"/>
            <w:right w:w="15" w:type="dxa"/>
          </w:tblCellMar>
        </w:tblPrEx>
        <w:trPr>
          <w:trHeight w:val="204" w:hRule="atLeast"/>
        </w:trPr>
        <w:tc>
          <w:tcPr>
            <w:tcW w:w="8840" w:type="dxa"/>
            <w:gridSpan w:val="8"/>
            <w:tcBorders>
              <w:top w:val="single" w:color="000000" w:sz="4" w:space="0"/>
              <w:left w:val="single" w:color="000000" w:sz="4" w:space="0"/>
              <w:bottom w:val="single" w:color="auto"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b/>
                <w:color w:val="000000"/>
                <w:sz w:val="18"/>
                <w:szCs w:val="18"/>
              </w:rPr>
            </w:pPr>
            <w:r>
              <w:rPr>
                <w:rFonts w:hint="eastAsia" w:ascii="宋体" w:hAnsi="宋体" w:cs="宋体"/>
                <w:b/>
                <w:color w:val="000000"/>
                <w:kern w:val="0"/>
                <w:sz w:val="28"/>
                <w:szCs w:val="28"/>
              </w:rPr>
              <w:t>专栏一：“十二五”规划</w:t>
            </w:r>
            <w:r>
              <w:rPr>
                <w:rFonts w:hint="eastAsia" w:ascii="宋体" w:hAnsi="宋体" w:cs="宋体"/>
                <w:b/>
                <w:color w:val="000000"/>
                <w:kern w:val="0"/>
                <w:sz w:val="28"/>
                <w:szCs w:val="28"/>
                <w:lang w:eastAsia="zh-CN"/>
              </w:rPr>
              <w:t>约束性</w:t>
            </w:r>
            <w:r>
              <w:rPr>
                <w:rFonts w:hint="eastAsia" w:ascii="宋体" w:hAnsi="宋体" w:cs="宋体"/>
                <w:b/>
                <w:color w:val="000000"/>
                <w:kern w:val="0"/>
                <w:sz w:val="28"/>
                <w:szCs w:val="28"/>
              </w:rPr>
              <w:t>指标完成情况</w:t>
            </w:r>
          </w:p>
        </w:tc>
      </w:tr>
      <w:tr>
        <w:tblPrEx>
          <w:tblLayout w:type="fixed"/>
          <w:tblCellMar>
            <w:top w:w="15" w:type="dxa"/>
            <w:left w:w="15" w:type="dxa"/>
            <w:bottom w:w="15" w:type="dxa"/>
            <w:right w:w="15" w:type="dxa"/>
          </w:tblCellMar>
        </w:tblPrEx>
        <w:trPr>
          <w:trHeight w:val="114" w:hRule="atLeast"/>
        </w:trPr>
        <w:tc>
          <w:tcPr>
            <w:tcW w:w="635" w:type="dxa"/>
            <w:vMerge w:val="restart"/>
            <w:tcBorders>
              <w:top w:val="single" w:color="auto" w:sz="4" w:space="0"/>
              <w:left w:val="single" w:color="000000" w:sz="4" w:space="0"/>
              <w:bottom w:val="single" w:color="auto"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序号</w:t>
            </w:r>
          </w:p>
        </w:tc>
        <w:tc>
          <w:tcPr>
            <w:tcW w:w="2139" w:type="dxa"/>
            <w:vMerge w:val="restart"/>
            <w:tcBorders>
              <w:top w:val="single" w:color="auto" w:sz="4" w:space="0"/>
              <w:left w:val="single" w:color="000000" w:sz="4" w:space="0"/>
              <w:bottom w:val="single" w:color="auto"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b/>
                <w:color w:val="000000"/>
                <w:sz w:val="18"/>
                <w:szCs w:val="18"/>
              </w:rPr>
            </w:pPr>
            <w:r>
              <w:rPr>
                <w:rFonts w:hint="eastAsia" w:ascii="宋体" w:hAnsi="宋体" w:cs="宋体"/>
                <w:b/>
                <w:color w:val="000000"/>
                <w:kern w:val="0"/>
                <w:sz w:val="18"/>
                <w:szCs w:val="18"/>
              </w:rPr>
              <w:t>指标</w:t>
            </w:r>
          </w:p>
        </w:tc>
        <w:tc>
          <w:tcPr>
            <w:tcW w:w="894" w:type="dxa"/>
            <w:vMerge w:val="restart"/>
            <w:tcBorders>
              <w:top w:val="single" w:color="auto" w:sz="4" w:space="0"/>
              <w:left w:val="single" w:color="000000" w:sz="4" w:space="0"/>
              <w:bottom w:val="single" w:color="auto"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b/>
                <w:color w:val="000000"/>
                <w:sz w:val="18"/>
                <w:szCs w:val="18"/>
              </w:rPr>
            </w:pPr>
            <w:r>
              <w:rPr>
                <w:rFonts w:hint="eastAsia" w:ascii="宋体" w:hAnsi="宋体" w:cs="宋体"/>
                <w:b/>
                <w:color w:val="000000"/>
                <w:kern w:val="0"/>
                <w:sz w:val="18"/>
                <w:szCs w:val="18"/>
              </w:rPr>
              <w:t>计量</w:t>
            </w:r>
            <w:r>
              <w:rPr>
                <w:rFonts w:hint="eastAsia" w:ascii="宋体" w:hAnsi="宋体" w:cs="宋体"/>
                <w:b/>
                <w:color w:val="000000"/>
                <w:kern w:val="0"/>
                <w:sz w:val="18"/>
                <w:szCs w:val="18"/>
              </w:rPr>
              <w:br w:type="textWrapping"/>
            </w:r>
            <w:r>
              <w:rPr>
                <w:rFonts w:hint="eastAsia" w:ascii="宋体" w:hAnsi="宋体" w:cs="宋体"/>
                <w:b/>
                <w:color w:val="000000"/>
                <w:kern w:val="0"/>
                <w:sz w:val="18"/>
                <w:szCs w:val="18"/>
              </w:rPr>
              <w:t>单位</w:t>
            </w:r>
          </w:p>
        </w:tc>
        <w:tc>
          <w:tcPr>
            <w:tcW w:w="736" w:type="dxa"/>
            <w:vMerge w:val="restart"/>
            <w:tcBorders>
              <w:top w:val="single" w:color="auto" w:sz="4" w:space="0"/>
              <w:left w:val="single" w:color="000000" w:sz="4" w:space="0"/>
              <w:bottom w:val="single" w:color="auto"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b/>
                <w:color w:val="000000"/>
                <w:sz w:val="18"/>
                <w:szCs w:val="18"/>
              </w:rPr>
            </w:pPr>
            <w:r>
              <w:rPr>
                <w:rFonts w:hint="eastAsia" w:ascii="宋体" w:hAnsi="宋体" w:cs="宋体"/>
                <w:b/>
                <w:color w:val="000000"/>
                <w:kern w:val="0"/>
                <w:sz w:val="18"/>
                <w:szCs w:val="18"/>
              </w:rPr>
              <w:t>2010年</w:t>
            </w:r>
          </w:p>
        </w:tc>
        <w:tc>
          <w:tcPr>
            <w:tcW w:w="2268" w:type="dxa"/>
            <w:gridSpan w:val="2"/>
            <w:tcBorders>
              <w:top w:val="single" w:color="auto" w:sz="4" w:space="0"/>
              <w:left w:val="single" w:color="000000" w:sz="4" w:space="0"/>
              <w:bottom w:val="single" w:color="auto"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b/>
                <w:color w:val="000000"/>
                <w:sz w:val="18"/>
                <w:szCs w:val="18"/>
              </w:rPr>
            </w:pPr>
            <w:r>
              <w:rPr>
                <w:rFonts w:hint="eastAsia" w:ascii="宋体" w:hAnsi="宋体" w:cs="宋体"/>
                <w:b/>
                <w:color w:val="000000"/>
                <w:kern w:val="0"/>
                <w:sz w:val="18"/>
                <w:szCs w:val="18"/>
              </w:rPr>
              <w:t>规划指标</w:t>
            </w:r>
          </w:p>
        </w:tc>
        <w:tc>
          <w:tcPr>
            <w:tcW w:w="2168" w:type="dxa"/>
            <w:gridSpan w:val="2"/>
            <w:tcBorders>
              <w:top w:val="single" w:color="auto" w:sz="4" w:space="0"/>
              <w:bottom w:val="single" w:color="auto"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b/>
                <w:color w:val="000000"/>
                <w:sz w:val="18"/>
                <w:szCs w:val="18"/>
              </w:rPr>
            </w:pPr>
            <w:r>
              <w:rPr>
                <w:rFonts w:hint="eastAsia" w:ascii="宋体" w:hAnsi="宋体" w:cs="宋体"/>
                <w:b/>
                <w:color w:val="000000"/>
                <w:kern w:val="0"/>
                <w:sz w:val="18"/>
                <w:szCs w:val="18"/>
              </w:rPr>
              <w:t>实际完成</w:t>
            </w:r>
          </w:p>
        </w:tc>
      </w:tr>
      <w:tr>
        <w:tblPrEx>
          <w:tblLayout w:type="fixed"/>
          <w:tblCellMar>
            <w:top w:w="15" w:type="dxa"/>
            <w:left w:w="15" w:type="dxa"/>
            <w:bottom w:w="15" w:type="dxa"/>
            <w:right w:w="15" w:type="dxa"/>
          </w:tblCellMar>
        </w:tblPrEx>
        <w:trPr>
          <w:trHeight w:val="114" w:hRule="atLeast"/>
        </w:trPr>
        <w:tc>
          <w:tcPr>
            <w:tcW w:w="635" w:type="dxa"/>
            <w:vMerge w:val="continue"/>
            <w:tcBorders>
              <w:top w:val="single" w:color="auto" w:sz="4" w:space="0"/>
              <w:left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cs="宋体"/>
                <w:color w:val="000000"/>
                <w:sz w:val="18"/>
                <w:szCs w:val="18"/>
              </w:rPr>
            </w:pPr>
          </w:p>
        </w:tc>
        <w:tc>
          <w:tcPr>
            <w:tcW w:w="2139" w:type="dxa"/>
            <w:vMerge w:val="continue"/>
            <w:tcBorders>
              <w:top w:val="single" w:color="auto" w:sz="4" w:space="0"/>
              <w:left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cs="宋体"/>
                <w:b/>
                <w:color w:val="000000"/>
                <w:sz w:val="18"/>
                <w:szCs w:val="18"/>
              </w:rPr>
            </w:pPr>
          </w:p>
        </w:tc>
        <w:tc>
          <w:tcPr>
            <w:tcW w:w="894" w:type="dxa"/>
            <w:vMerge w:val="continue"/>
            <w:tcBorders>
              <w:top w:val="single" w:color="auto" w:sz="4" w:space="0"/>
              <w:left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cs="宋体"/>
                <w:b/>
                <w:color w:val="000000"/>
                <w:sz w:val="18"/>
                <w:szCs w:val="18"/>
              </w:rPr>
            </w:pPr>
          </w:p>
        </w:tc>
        <w:tc>
          <w:tcPr>
            <w:tcW w:w="736" w:type="dxa"/>
            <w:vMerge w:val="continue"/>
            <w:tcBorders>
              <w:top w:val="single" w:color="auto" w:sz="4" w:space="0"/>
              <w:left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cs="宋体"/>
                <w:b/>
                <w:color w:val="000000"/>
                <w:sz w:val="18"/>
                <w:szCs w:val="18"/>
              </w:rPr>
            </w:pPr>
          </w:p>
        </w:tc>
        <w:tc>
          <w:tcPr>
            <w:tcW w:w="1010" w:type="dxa"/>
            <w:tcBorders>
              <w:top w:val="single" w:color="auto"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b/>
                <w:color w:val="000000"/>
                <w:sz w:val="18"/>
                <w:szCs w:val="18"/>
              </w:rPr>
            </w:pPr>
            <w:r>
              <w:rPr>
                <w:rFonts w:hint="eastAsia" w:ascii="宋体" w:hAnsi="宋体" w:cs="宋体"/>
                <w:b/>
                <w:color w:val="000000"/>
                <w:kern w:val="0"/>
                <w:sz w:val="18"/>
                <w:szCs w:val="18"/>
              </w:rPr>
              <w:t>2015年</w:t>
            </w:r>
          </w:p>
        </w:tc>
        <w:tc>
          <w:tcPr>
            <w:tcW w:w="1258" w:type="dxa"/>
            <w:tcBorders>
              <w:top w:val="single" w:color="auto"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b/>
                <w:color w:val="000000"/>
                <w:sz w:val="18"/>
                <w:szCs w:val="18"/>
              </w:rPr>
            </w:pPr>
            <w:r>
              <w:rPr>
                <w:rFonts w:hint="eastAsia" w:ascii="宋体" w:hAnsi="宋体" w:cs="宋体"/>
                <w:b/>
                <w:color w:val="000000"/>
                <w:kern w:val="0"/>
                <w:sz w:val="18"/>
                <w:szCs w:val="18"/>
              </w:rPr>
              <w:t>年均增长（%）</w:t>
            </w:r>
          </w:p>
        </w:tc>
        <w:tc>
          <w:tcPr>
            <w:tcW w:w="1007" w:type="dxa"/>
            <w:tcBorders>
              <w:top w:val="single" w:color="auto"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b/>
                <w:color w:val="000000"/>
                <w:sz w:val="18"/>
                <w:szCs w:val="18"/>
              </w:rPr>
            </w:pPr>
            <w:r>
              <w:rPr>
                <w:rFonts w:hint="eastAsia" w:ascii="宋体" w:hAnsi="宋体" w:cs="宋体"/>
                <w:b/>
                <w:color w:val="000000"/>
                <w:kern w:val="0"/>
                <w:sz w:val="18"/>
                <w:szCs w:val="18"/>
              </w:rPr>
              <w:t>2014年</w:t>
            </w:r>
          </w:p>
        </w:tc>
        <w:tc>
          <w:tcPr>
            <w:tcW w:w="1161" w:type="dxa"/>
            <w:tcBorders>
              <w:top w:val="single" w:color="auto"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b/>
                <w:color w:val="000000"/>
                <w:sz w:val="18"/>
                <w:szCs w:val="18"/>
              </w:rPr>
            </w:pPr>
            <w:r>
              <w:rPr>
                <w:rFonts w:hint="eastAsia" w:ascii="宋体" w:hAnsi="宋体" w:cs="宋体"/>
                <w:b/>
                <w:color w:val="000000"/>
                <w:kern w:val="0"/>
                <w:sz w:val="18"/>
                <w:szCs w:val="18"/>
              </w:rPr>
              <w:t>年均增长（%）</w:t>
            </w:r>
          </w:p>
        </w:tc>
      </w:tr>
      <w:tr>
        <w:tblPrEx>
          <w:tblLayout w:type="fixed"/>
          <w:tblCellMar>
            <w:top w:w="15" w:type="dxa"/>
            <w:left w:w="15" w:type="dxa"/>
            <w:bottom w:w="15" w:type="dxa"/>
            <w:right w:w="15" w:type="dxa"/>
          </w:tblCellMar>
        </w:tblPrEx>
        <w:trPr>
          <w:trHeight w:val="114" w:hRule="atLeast"/>
        </w:trPr>
        <w:tc>
          <w:tcPr>
            <w:tcW w:w="635"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val="en-US" w:eastAsia="zh-CN"/>
              </w:rPr>
              <w:t>1</w:t>
            </w:r>
          </w:p>
        </w:tc>
        <w:tc>
          <w:tcPr>
            <w:tcW w:w="2139"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全区总人口</w:t>
            </w:r>
          </w:p>
        </w:tc>
        <w:tc>
          <w:tcPr>
            <w:tcW w:w="894"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万人</w:t>
            </w:r>
          </w:p>
        </w:tc>
        <w:tc>
          <w:tcPr>
            <w:tcW w:w="736"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31</w:t>
            </w:r>
            <w:r>
              <w:rPr>
                <w:rFonts w:hint="eastAsia" w:ascii="宋体" w:hAnsi="宋体" w:cs="宋体"/>
                <w:color w:val="000000"/>
                <w:kern w:val="0"/>
                <w:sz w:val="18"/>
                <w:szCs w:val="18"/>
                <w:lang w:val="en-US" w:eastAsia="zh-CN"/>
              </w:rPr>
              <w:t>.3</w:t>
            </w:r>
          </w:p>
        </w:tc>
        <w:tc>
          <w:tcPr>
            <w:tcW w:w="1010"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3</w:t>
            </w:r>
            <w:r>
              <w:rPr>
                <w:rFonts w:hint="eastAsia" w:ascii="宋体" w:hAnsi="宋体" w:cs="宋体"/>
                <w:color w:val="000000"/>
                <w:kern w:val="0"/>
                <w:sz w:val="18"/>
                <w:szCs w:val="18"/>
                <w:lang w:val="en-US" w:eastAsia="zh-CN"/>
              </w:rPr>
              <w:t>5</w:t>
            </w:r>
          </w:p>
        </w:tc>
        <w:tc>
          <w:tcPr>
            <w:tcW w:w="1258"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22.6</w:t>
            </w:r>
            <w:r>
              <w:rPr>
                <w:rFonts w:hint="default" w:ascii="Arial" w:hAnsi="Arial" w:cs="Arial"/>
                <w:color w:val="000000"/>
                <w:sz w:val="18"/>
                <w:szCs w:val="18"/>
              </w:rPr>
              <w:t>‰</w:t>
            </w:r>
          </w:p>
        </w:tc>
        <w:tc>
          <w:tcPr>
            <w:tcW w:w="1007" w:type="dxa"/>
            <w:tcBorders>
              <w:top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cs="宋体"/>
                <w:color w:val="000000"/>
                <w:sz w:val="18"/>
                <w:szCs w:val="18"/>
              </w:rPr>
            </w:pPr>
            <w:r>
              <w:rPr>
                <w:rFonts w:hint="eastAsia" w:ascii="宋体" w:hAnsi="宋体" w:cs="宋体"/>
                <w:color w:val="000000"/>
                <w:sz w:val="18"/>
                <w:szCs w:val="18"/>
                <w:lang w:val="en-US" w:eastAsia="zh-CN"/>
              </w:rPr>
              <w:t>30.6</w:t>
            </w:r>
          </w:p>
        </w:tc>
        <w:tc>
          <w:tcPr>
            <w:tcW w:w="1161"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cs="宋体"/>
                <w:color w:val="000000"/>
                <w:sz w:val="18"/>
                <w:szCs w:val="18"/>
              </w:rPr>
            </w:pPr>
            <w:r>
              <w:rPr>
                <w:rFonts w:hint="eastAsia" w:ascii="Arial" w:hAnsi="Arial" w:cs="Arial"/>
                <w:color w:val="000000"/>
                <w:sz w:val="18"/>
                <w:szCs w:val="18"/>
                <w:lang w:val="en-US" w:eastAsia="zh-CN"/>
              </w:rPr>
              <w:t>-5.6</w:t>
            </w:r>
            <w:r>
              <w:rPr>
                <w:rFonts w:hint="default" w:ascii="Arial" w:hAnsi="Arial" w:cs="Arial"/>
                <w:color w:val="000000"/>
                <w:sz w:val="18"/>
                <w:szCs w:val="18"/>
              </w:rPr>
              <w:t>‰</w:t>
            </w:r>
          </w:p>
        </w:tc>
      </w:tr>
      <w:tr>
        <w:tblPrEx>
          <w:tblLayout w:type="fixed"/>
          <w:tblCellMar>
            <w:top w:w="15" w:type="dxa"/>
            <w:left w:w="15" w:type="dxa"/>
            <w:bottom w:w="15" w:type="dxa"/>
            <w:right w:w="15" w:type="dxa"/>
          </w:tblCellMar>
        </w:tblPrEx>
        <w:trPr>
          <w:trHeight w:val="114" w:hRule="atLeast"/>
        </w:trPr>
        <w:tc>
          <w:tcPr>
            <w:tcW w:w="635"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val="en-US" w:eastAsia="zh-CN"/>
              </w:rPr>
              <w:t>2</w:t>
            </w:r>
          </w:p>
        </w:tc>
        <w:tc>
          <w:tcPr>
            <w:tcW w:w="2139"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万元生产总值能耗降低率</w:t>
            </w:r>
          </w:p>
        </w:tc>
        <w:tc>
          <w:tcPr>
            <w:tcW w:w="894"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w:t>
            </w:r>
          </w:p>
        </w:tc>
        <w:tc>
          <w:tcPr>
            <w:tcW w:w="73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20</w:t>
            </w:r>
          </w:p>
        </w:tc>
        <w:tc>
          <w:tcPr>
            <w:tcW w:w="1010"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20</w:t>
            </w:r>
          </w:p>
        </w:tc>
        <w:tc>
          <w:tcPr>
            <w:tcW w:w="1258"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w:t>
            </w:r>
          </w:p>
        </w:tc>
        <w:tc>
          <w:tcPr>
            <w:tcW w:w="1007" w:type="dxa"/>
            <w:tcBorders>
              <w:top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16</w:t>
            </w:r>
          </w:p>
        </w:tc>
        <w:tc>
          <w:tcPr>
            <w:tcW w:w="1161"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w:t>
            </w:r>
          </w:p>
        </w:tc>
      </w:tr>
      <w:tr>
        <w:tblPrEx>
          <w:tblLayout w:type="fixed"/>
          <w:tblCellMar>
            <w:top w:w="15" w:type="dxa"/>
            <w:left w:w="15" w:type="dxa"/>
            <w:bottom w:w="15" w:type="dxa"/>
            <w:right w:w="15" w:type="dxa"/>
          </w:tblCellMar>
        </w:tblPrEx>
        <w:trPr>
          <w:trHeight w:val="114" w:hRule="atLeast"/>
        </w:trPr>
        <w:tc>
          <w:tcPr>
            <w:tcW w:w="635"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val="en-US" w:eastAsia="zh-CN"/>
              </w:rPr>
              <w:t>3</w:t>
            </w:r>
          </w:p>
        </w:tc>
        <w:tc>
          <w:tcPr>
            <w:tcW w:w="2139"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城市绿化覆盖率</w:t>
            </w:r>
          </w:p>
        </w:tc>
        <w:tc>
          <w:tcPr>
            <w:tcW w:w="894"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w:t>
            </w:r>
          </w:p>
        </w:tc>
        <w:tc>
          <w:tcPr>
            <w:tcW w:w="73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20.7</w:t>
            </w:r>
          </w:p>
        </w:tc>
        <w:tc>
          <w:tcPr>
            <w:tcW w:w="1010"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25</w:t>
            </w:r>
          </w:p>
        </w:tc>
        <w:tc>
          <w:tcPr>
            <w:tcW w:w="1258"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w:t>
            </w:r>
          </w:p>
        </w:tc>
        <w:tc>
          <w:tcPr>
            <w:tcW w:w="1007" w:type="dxa"/>
            <w:tcBorders>
              <w:top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23</w:t>
            </w:r>
          </w:p>
        </w:tc>
        <w:tc>
          <w:tcPr>
            <w:tcW w:w="1161"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w:t>
            </w:r>
          </w:p>
        </w:tc>
      </w:tr>
      <w:tr>
        <w:tblPrEx>
          <w:tblLayout w:type="fixed"/>
          <w:tblCellMar>
            <w:top w:w="15" w:type="dxa"/>
            <w:left w:w="15" w:type="dxa"/>
            <w:bottom w:w="15" w:type="dxa"/>
            <w:right w:w="15" w:type="dxa"/>
          </w:tblCellMar>
        </w:tblPrEx>
        <w:trPr>
          <w:trHeight w:val="114" w:hRule="atLeast"/>
        </w:trPr>
        <w:tc>
          <w:tcPr>
            <w:tcW w:w="635"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val="en-US" w:eastAsia="zh-CN"/>
              </w:rPr>
              <w:t>4</w:t>
            </w:r>
          </w:p>
        </w:tc>
        <w:tc>
          <w:tcPr>
            <w:tcW w:w="2139"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人均公共绿地面积</w:t>
            </w:r>
          </w:p>
        </w:tc>
        <w:tc>
          <w:tcPr>
            <w:tcW w:w="894"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平方米</w:t>
            </w:r>
          </w:p>
        </w:tc>
        <w:tc>
          <w:tcPr>
            <w:tcW w:w="73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6.1</w:t>
            </w:r>
          </w:p>
        </w:tc>
        <w:tc>
          <w:tcPr>
            <w:tcW w:w="1010"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10</w:t>
            </w:r>
          </w:p>
        </w:tc>
        <w:tc>
          <w:tcPr>
            <w:tcW w:w="1258"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10.4</w:t>
            </w:r>
          </w:p>
        </w:tc>
        <w:tc>
          <w:tcPr>
            <w:tcW w:w="1007" w:type="dxa"/>
            <w:tcBorders>
              <w:top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6.8</w:t>
            </w:r>
          </w:p>
        </w:tc>
        <w:tc>
          <w:tcPr>
            <w:tcW w:w="1161"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3.1</w:t>
            </w:r>
          </w:p>
        </w:tc>
      </w:tr>
      <w:tr>
        <w:tblPrEx>
          <w:tblLayout w:type="fixed"/>
          <w:tblCellMar>
            <w:top w:w="15" w:type="dxa"/>
            <w:left w:w="15" w:type="dxa"/>
            <w:bottom w:w="15" w:type="dxa"/>
            <w:right w:w="15" w:type="dxa"/>
          </w:tblCellMar>
        </w:tblPrEx>
        <w:trPr>
          <w:trHeight w:val="204" w:hRule="atLeast"/>
        </w:trPr>
        <w:tc>
          <w:tcPr>
            <w:tcW w:w="635"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val="en-US" w:eastAsia="zh-CN"/>
              </w:rPr>
              <w:t>5</w:t>
            </w:r>
          </w:p>
        </w:tc>
        <w:tc>
          <w:tcPr>
            <w:tcW w:w="2139"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空气质量优良天数</w:t>
            </w:r>
          </w:p>
        </w:tc>
        <w:tc>
          <w:tcPr>
            <w:tcW w:w="894"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天</w:t>
            </w:r>
          </w:p>
        </w:tc>
        <w:tc>
          <w:tcPr>
            <w:tcW w:w="736"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260</w:t>
            </w:r>
          </w:p>
        </w:tc>
        <w:tc>
          <w:tcPr>
            <w:tcW w:w="1010"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290</w:t>
            </w:r>
          </w:p>
        </w:tc>
        <w:tc>
          <w:tcPr>
            <w:tcW w:w="1258"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2.2</w:t>
            </w:r>
          </w:p>
        </w:tc>
        <w:tc>
          <w:tcPr>
            <w:tcW w:w="1007" w:type="dxa"/>
            <w:tcBorders>
              <w:top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cs="宋体"/>
                <w:color w:val="000000"/>
                <w:sz w:val="18"/>
                <w:szCs w:val="18"/>
                <w:lang w:val="en-US" w:eastAsia="zh-CN"/>
              </w:rPr>
            </w:pPr>
            <w:r>
              <w:rPr>
                <w:rFonts w:hint="eastAsia" w:ascii="宋体" w:hAnsi="宋体" w:cs="宋体"/>
                <w:color w:val="000000"/>
                <w:sz w:val="18"/>
                <w:szCs w:val="18"/>
                <w:lang w:val="en-US" w:eastAsia="zh-CN"/>
              </w:rPr>
              <w:t>200</w:t>
            </w:r>
          </w:p>
          <w:p>
            <w:pPr>
              <w:pageBreakBefore w:val="0"/>
              <w:kinsoku/>
              <w:wordWrap/>
              <w:overflowPunct w:val="0"/>
              <w:topLinePunct w:val="0"/>
              <w:bidi w:val="0"/>
              <w:ind w:right="0" w:rightChars="0"/>
              <w:jc w:val="center"/>
              <w:rPr>
                <w:rFonts w:hint="eastAsia" w:ascii="宋体" w:hAnsi="宋体" w:cs="宋体"/>
                <w:color w:val="000000"/>
                <w:sz w:val="18"/>
                <w:szCs w:val="18"/>
              </w:rPr>
            </w:pPr>
            <w:r>
              <w:rPr>
                <w:rFonts w:hint="eastAsia" w:ascii="宋体" w:hAnsi="宋体" w:cs="宋体"/>
                <w:color w:val="000000"/>
                <w:sz w:val="18"/>
                <w:szCs w:val="18"/>
                <w:lang w:val="en-US" w:eastAsia="zh-CN"/>
              </w:rPr>
              <w:t>（新标准）</w:t>
            </w:r>
          </w:p>
        </w:tc>
        <w:tc>
          <w:tcPr>
            <w:tcW w:w="1161"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5</w:t>
            </w:r>
          </w:p>
        </w:tc>
      </w:tr>
      <w:tr>
        <w:tblPrEx>
          <w:tblLayout w:type="fixed"/>
          <w:tblCellMar>
            <w:top w:w="15" w:type="dxa"/>
            <w:left w:w="15" w:type="dxa"/>
            <w:bottom w:w="15" w:type="dxa"/>
            <w:right w:w="15" w:type="dxa"/>
          </w:tblCellMar>
        </w:tblPrEx>
        <w:trPr>
          <w:trHeight w:val="114" w:hRule="atLeast"/>
        </w:trPr>
        <w:tc>
          <w:tcPr>
            <w:tcW w:w="635"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val="en-US" w:eastAsia="zh-CN"/>
              </w:rPr>
              <w:t>6</w:t>
            </w:r>
          </w:p>
        </w:tc>
        <w:tc>
          <w:tcPr>
            <w:tcW w:w="2139"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社区卫生服务人口覆盖率</w:t>
            </w:r>
          </w:p>
        </w:tc>
        <w:tc>
          <w:tcPr>
            <w:tcW w:w="894" w:type="dxa"/>
            <w:tcBorders>
              <w:top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rPr>
              <w:t>%</w:t>
            </w:r>
          </w:p>
        </w:tc>
        <w:tc>
          <w:tcPr>
            <w:tcW w:w="73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100</w:t>
            </w:r>
          </w:p>
        </w:tc>
        <w:tc>
          <w:tcPr>
            <w:tcW w:w="1010"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100</w:t>
            </w:r>
          </w:p>
        </w:tc>
        <w:tc>
          <w:tcPr>
            <w:tcW w:w="1258"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w:t>
            </w:r>
          </w:p>
        </w:tc>
        <w:tc>
          <w:tcPr>
            <w:tcW w:w="1007" w:type="dxa"/>
            <w:tcBorders>
              <w:top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100</w:t>
            </w:r>
          </w:p>
        </w:tc>
        <w:tc>
          <w:tcPr>
            <w:tcW w:w="1161"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w:t>
            </w:r>
          </w:p>
        </w:tc>
      </w:tr>
      <w:tr>
        <w:tblPrEx>
          <w:tblLayout w:type="fixed"/>
          <w:tblCellMar>
            <w:top w:w="15" w:type="dxa"/>
            <w:left w:w="15" w:type="dxa"/>
            <w:bottom w:w="15" w:type="dxa"/>
            <w:right w:w="15" w:type="dxa"/>
          </w:tblCellMar>
        </w:tblPrEx>
        <w:trPr>
          <w:trHeight w:val="114" w:hRule="atLeast"/>
        </w:trPr>
        <w:tc>
          <w:tcPr>
            <w:tcW w:w="635"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val="en-US" w:eastAsia="zh-CN"/>
              </w:rPr>
              <w:t>7</w:t>
            </w:r>
          </w:p>
        </w:tc>
        <w:tc>
          <w:tcPr>
            <w:tcW w:w="2139"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农民医疗参保率</w:t>
            </w:r>
          </w:p>
        </w:tc>
        <w:tc>
          <w:tcPr>
            <w:tcW w:w="894" w:type="dxa"/>
            <w:tcBorders>
              <w:top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w:t>
            </w:r>
          </w:p>
        </w:tc>
        <w:tc>
          <w:tcPr>
            <w:tcW w:w="73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99</w:t>
            </w:r>
          </w:p>
        </w:tc>
        <w:tc>
          <w:tcPr>
            <w:tcW w:w="1010"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100</w:t>
            </w:r>
          </w:p>
        </w:tc>
        <w:tc>
          <w:tcPr>
            <w:tcW w:w="1258"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w:t>
            </w:r>
          </w:p>
        </w:tc>
        <w:tc>
          <w:tcPr>
            <w:tcW w:w="1007" w:type="dxa"/>
            <w:tcBorders>
              <w:top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rPr>
              <w:t>99</w:t>
            </w:r>
          </w:p>
        </w:tc>
        <w:tc>
          <w:tcPr>
            <w:tcW w:w="1161"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w:t>
            </w:r>
          </w:p>
        </w:tc>
      </w:tr>
      <w:tr>
        <w:tblPrEx>
          <w:tblLayout w:type="fixed"/>
          <w:tblCellMar>
            <w:top w:w="15" w:type="dxa"/>
            <w:left w:w="15" w:type="dxa"/>
            <w:bottom w:w="15" w:type="dxa"/>
            <w:right w:w="15" w:type="dxa"/>
          </w:tblCellMar>
        </w:tblPrEx>
        <w:trPr>
          <w:trHeight w:val="114" w:hRule="atLeast"/>
        </w:trPr>
        <w:tc>
          <w:tcPr>
            <w:tcW w:w="635"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val="en-US" w:eastAsia="zh-CN"/>
              </w:rPr>
              <w:t>8</w:t>
            </w:r>
          </w:p>
        </w:tc>
        <w:tc>
          <w:tcPr>
            <w:tcW w:w="2139"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城镇居民登记失业率</w:t>
            </w:r>
          </w:p>
        </w:tc>
        <w:tc>
          <w:tcPr>
            <w:tcW w:w="894" w:type="dxa"/>
            <w:tcBorders>
              <w:top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w:t>
            </w:r>
          </w:p>
        </w:tc>
        <w:tc>
          <w:tcPr>
            <w:tcW w:w="73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3.2</w:t>
            </w:r>
          </w:p>
        </w:tc>
        <w:tc>
          <w:tcPr>
            <w:tcW w:w="1010"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5</w:t>
            </w:r>
          </w:p>
        </w:tc>
        <w:tc>
          <w:tcPr>
            <w:tcW w:w="1258"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w:t>
            </w:r>
          </w:p>
        </w:tc>
        <w:tc>
          <w:tcPr>
            <w:tcW w:w="1007" w:type="dxa"/>
            <w:tcBorders>
              <w:top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cs="宋体"/>
                <w:color w:val="000000"/>
                <w:sz w:val="18"/>
                <w:szCs w:val="18"/>
              </w:rPr>
            </w:pPr>
            <w:r>
              <w:rPr>
                <w:rFonts w:hint="eastAsia" w:ascii="宋体" w:hAnsi="宋体" w:cs="宋体"/>
                <w:color w:val="000000"/>
                <w:sz w:val="18"/>
                <w:szCs w:val="18"/>
                <w:lang w:val="en-US" w:eastAsia="zh-CN"/>
              </w:rPr>
              <w:t>2.5</w:t>
            </w:r>
          </w:p>
        </w:tc>
        <w:tc>
          <w:tcPr>
            <w:tcW w:w="1161"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w:t>
            </w:r>
          </w:p>
        </w:tc>
      </w:tr>
      <w:tr>
        <w:tblPrEx>
          <w:tblLayout w:type="fixed"/>
          <w:tblCellMar>
            <w:top w:w="15" w:type="dxa"/>
            <w:left w:w="15" w:type="dxa"/>
            <w:bottom w:w="15" w:type="dxa"/>
            <w:right w:w="15" w:type="dxa"/>
          </w:tblCellMar>
        </w:tblPrEx>
        <w:trPr>
          <w:trHeight w:val="114" w:hRule="atLeast"/>
        </w:trPr>
        <w:tc>
          <w:tcPr>
            <w:tcW w:w="635"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val="en-US" w:eastAsia="zh-CN"/>
              </w:rPr>
              <w:t>9</w:t>
            </w:r>
          </w:p>
        </w:tc>
        <w:tc>
          <w:tcPr>
            <w:tcW w:w="2139"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城镇失业保险覆盖率</w:t>
            </w:r>
          </w:p>
        </w:tc>
        <w:tc>
          <w:tcPr>
            <w:tcW w:w="894" w:type="dxa"/>
            <w:tcBorders>
              <w:top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w:t>
            </w:r>
          </w:p>
        </w:tc>
        <w:tc>
          <w:tcPr>
            <w:tcW w:w="73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w:t>
            </w:r>
          </w:p>
        </w:tc>
        <w:tc>
          <w:tcPr>
            <w:tcW w:w="1010"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val="en-US" w:eastAsia="zh-CN"/>
              </w:rPr>
              <w:t>94</w:t>
            </w:r>
          </w:p>
        </w:tc>
        <w:tc>
          <w:tcPr>
            <w:tcW w:w="1258"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w:t>
            </w:r>
          </w:p>
        </w:tc>
        <w:tc>
          <w:tcPr>
            <w:tcW w:w="1007" w:type="dxa"/>
            <w:tcBorders>
              <w:top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94</w:t>
            </w:r>
          </w:p>
        </w:tc>
        <w:tc>
          <w:tcPr>
            <w:tcW w:w="1161"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w:t>
            </w:r>
          </w:p>
        </w:tc>
      </w:tr>
      <w:tr>
        <w:tblPrEx>
          <w:tblLayout w:type="fixed"/>
          <w:tblCellMar>
            <w:top w:w="15" w:type="dxa"/>
            <w:left w:w="15" w:type="dxa"/>
            <w:bottom w:w="15" w:type="dxa"/>
            <w:right w:w="15" w:type="dxa"/>
          </w:tblCellMar>
        </w:tblPrEx>
        <w:trPr>
          <w:trHeight w:val="114" w:hRule="atLeast"/>
        </w:trPr>
        <w:tc>
          <w:tcPr>
            <w:tcW w:w="635"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val="en-US" w:eastAsia="zh-CN"/>
              </w:rPr>
              <w:t>10</w:t>
            </w:r>
          </w:p>
        </w:tc>
        <w:tc>
          <w:tcPr>
            <w:tcW w:w="2139"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基本养老保险覆盖率</w:t>
            </w:r>
          </w:p>
        </w:tc>
        <w:tc>
          <w:tcPr>
            <w:tcW w:w="894" w:type="dxa"/>
            <w:tcBorders>
              <w:top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w:t>
            </w:r>
          </w:p>
        </w:tc>
        <w:tc>
          <w:tcPr>
            <w:tcW w:w="73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w:t>
            </w:r>
          </w:p>
        </w:tc>
        <w:tc>
          <w:tcPr>
            <w:tcW w:w="1010"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95</w:t>
            </w:r>
          </w:p>
        </w:tc>
        <w:tc>
          <w:tcPr>
            <w:tcW w:w="1258"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w:t>
            </w:r>
          </w:p>
        </w:tc>
        <w:tc>
          <w:tcPr>
            <w:tcW w:w="1007" w:type="dxa"/>
            <w:tcBorders>
              <w:top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cs="宋体"/>
                <w:color w:val="000000"/>
                <w:sz w:val="18"/>
                <w:szCs w:val="18"/>
              </w:rPr>
            </w:pPr>
            <w:r>
              <w:rPr>
                <w:rFonts w:hint="eastAsia" w:ascii="宋体" w:hAnsi="宋体" w:cs="宋体"/>
                <w:color w:val="000000"/>
                <w:sz w:val="18"/>
                <w:szCs w:val="18"/>
                <w:lang w:val="en-US" w:eastAsia="zh-CN"/>
              </w:rPr>
              <w:t>95</w:t>
            </w:r>
          </w:p>
        </w:tc>
        <w:tc>
          <w:tcPr>
            <w:tcW w:w="1161"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w:t>
            </w:r>
          </w:p>
        </w:tc>
      </w:tr>
      <w:tr>
        <w:tblPrEx>
          <w:tblLayout w:type="fixed"/>
          <w:tblCellMar>
            <w:top w:w="15" w:type="dxa"/>
            <w:left w:w="15" w:type="dxa"/>
            <w:bottom w:w="15" w:type="dxa"/>
            <w:right w:w="15" w:type="dxa"/>
          </w:tblCellMar>
        </w:tblPrEx>
        <w:trPr>
          <w:trHeight w:val="119" w:hRule="atLeast"/>
        </w:trPr>
        <w:tc>
          <w:tcPr>
            <w:tcW w:w="635"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val="en-US" w:eastAsia="zh-CN"/>
              </w:rPr>
              <w:t>11</w:t>
            </w:r>
          </w:p>
        </w:tc>
        <w:tc>
          <w:tcPr>
            <w:tcW w:w="2139"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职工基本医疗保险覆盖率</w:t>
            </w:r>
          </w:p>
        </w:tc>
        <w:tc>
          <w:tcPr>
            <w:tcW w:w="894" w:type="dxa"/>
            <w:tcBorders>
              <w:top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w:t>
            </w:r>
          </w:p>
        </w:tc>
        <w:tc>
          <w:tcPr>
            <w:tcW w:w="73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w:t>
            </w:r>
          </w:p>
        </w:tc>
        <w:tc>
          <w:tcPr>
            <w:tcW w:w="1010"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100</w:t>
            </w:r>
          </w:p>
        </w:tc>
        <w:tc>
          <w:tcPr>
            <w:tcW w:w="1258"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w:t>
            </w:r>
          </w:p>
        </w:tc>
        <w:tc>
          <w:tcPr>
            <w:tcW w:w="1007" w:type="dxa"/>
            <w:tcBorders>
              <w:top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cs="宋体"/>
                <w:color w:val="000000"/>
                <w:sz w:val="18"/>
                <w:szCs w:val="18"/>
              </w:rPr>
            </w:pPr>
            <w:r>
              <w:rPr>
                <w:rFonts w:hint="eastAsia" w:ascii="宋体" w:hAnsi="宋体" w:cs="宋体"/>
                <w:color w:val="000000"/>
                <w:sz w:val="18"/>
                <w:szCs w:val="18"/>
                <w:lang w:val="en-US" w:eastAsia="zh-CN"/>
              </w:rPr>
              <w:t>100</w:t>
            </w:r>
          </w:p>
        </w:tc>
        <w:tc>
          <w:tcPr>
            <w:tcW w:w="1161"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val="0"/>
              <w:topLinePunct w:val="0"/>
              <w:bidi w:val="0"/>
              <w:ind w:right="0" w:rightChars="0"/>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w:t>
            </w:r>
          </w:p>
        </w:tc>
      </w:tr>
    </w:tbl>
    <w:p>
      <w:pPr>
        <w:pStyle w:val="3"/>
        <w:keepNext/>
        <w:keepLines/>
        <w:pageBreakBefore w:val="0"/>
        <w:widowControl w:val="0"/>
        <w:kinsoku/>
        <w:wordWrap/>
        <w:overflowPunct/>
        <w:topLinePunct w:val="0"/>
        <w:autoSpaceDE/>
        <w:autoSpaceDN/>
        <w:bidi w:val="0"/>
        <w:adjustRightInd/>
        <w:snapToGrid/>
        <w:spacing w:before="0" w:beforeLines="0" w:after="20" w:afterLines="0" w:line="240" w:lineRule="auto"/>
        <w:ind w:left="0" w:leftChars="0" w:right="0" w:rightChars="0" w:firstLine="0" w:firstLineChars="0"/>
        <w:jc w:val="center"/>
        <w:textAlignment w:val="auto"/>
        <w:outlineLvl w:val="1"/>
        <w:rPr>
          <w:rFonts w:hint="eastAsia"/>
        </w:rPr>
      </w:pPr>
      <w:bookmarkStart w:id="3" w:name="_Toc16185"/>
      <w:r>
        <w:rPr>
          <w:rFonts w:hint="eastAsia"/>
        </w:rPr>
        <w:t xml:space="preserve">第二节 </w:t>
      </w:r>
      <w:r>
        <w:rPr>
          <w:rFonts w:hint="eastAsia"/>
          <w:lang w:val="en-US" w:eastAsia="zh-CN"/>
        </w:rPr>
        <w:t xml:space="preserve"> </w:t>
      </w:r>
      <w:r>
        <w:rPr>
          <w:rFonts w:hint="eastAsia"/>
        </w:rPr>
        <w:t>发展环境</w:t>
      </w:r>
      <w:bookmarkEnd w:id="3"/>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回顾“十二五”，在肯定成绩的同时，我们也清醒地认识到，区域经济社会发展还存在许多矛盾和问题，表现在重点经济指标完成情况没有达到预期效果。综合分析原因，主要是经济结构仍然以</w:t>
      </w:r>
      <w:r>
        <w:rPr>
          <w:rFonts w:hint="eastAsia" w:ascii="仿宋_GB2312" w:eastAsia="仿宋_GB2312"/>
          <w:sz w:val="32"/>
          <w:szCs w:val="32"/>
          <w:lang w:eastAsia="zh-CN"/>
        </w:rPr>
        <w:t>原材料</w:t>
      </w:r>
      <w:r>
        <w:rPr>
          <w:rFonts w:hint="eastAsia" w:ascii="仿宋_GB2312" w:eastAsia="仿宋_GB2312"/>
          <w:sz w:val="32"/>
          <w:szCs w:val="32"/>
        </w:rPr>
        <w:t>工业为主，生产经营受市场波动影响较大，企业应对经济危机的能力不强；集体企业改制遗留情况复杂、问题较多，特别是节能减排任务艰巨，经营阻力增大；战略性和牵动性的重大项目少，影响发展的制约因素复杂，项目难以落地，发展空间狭小；企业科技含量较低，品牌意识不强，新兴产业发展不足。这些因素严重影响了“十二五”主要经济指标的完成，同时也成为了“十三五”面临的严峻挑战和考验。</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十三五”期间，望花区将进入经济大发展、城乡大建设、改革大推进、民生大改善的发展机遇期。几年来，中央推出了一系列重大改革和政策，红利与效应在逐步释放，为我区发展带来了良好的发展机遇。2015年，中央实施宏观调控政策，主动适应和引领经济发展新常态</w:t>
      </w:r>
      <w:r>
        <w:rPr>
          <w:rFonts w:hint="eastAsia" w:ascii="仿宋_GB2312" w:eastAsia="仿宋_GB2312"/>
          <w:sz w:val="32"/>
          <w:szCs w:val="32"/>
          <w:lang w:eastAsia="zh-CN"/>
        </w:rPr>
        <w:t>，</w:t>
      </w:r>
      <w:r>
        <w:rPr>
          <w:rFonts w:hint="eastAsia" w:ascii="仿宋_GB2312" w:eastAsia="仿宋_GB2312"/>
          <w:sz w:val="32"/>
          <w:szCs w:val="32"/>
        </w:rPr>
        <w:t>把稳增长、促改革、调结构、惠民生、防风险放在更加重要位置，确定了“稳中求进”的工作总基调，科学调整发展思路、谋划发展空间，为“十三五”期间经济发展奠定了良好基础。中央振兴东北老工业基地政策的实施，将逐步化解望花区</w:t>
      </w:r>
      <w:r>
        <w:rPr>
          <w:rFonts w:hint="eastAsia" w:ascii="仿宋_GB2312" w:eastAsia="仿宋_GB2312"/>
          <w:sz w:val="32"/>
          <w:szCs w:val="32"/>
          <w:lang w:eastAsia="zh-CN"/>
        </w:rPr>
        <w:t>国有</w:t>
      </w:r>
      <w:r>
        <w:rPr>
          <w:rFonts w:hint="eastAsia" w:ascii="仿宋_GB2312" w:eastAsia="仿宋_GB2312"/>
          <w:sz w:val="32"/>
          <w:szCs w:val="32"/>
        </w:rPr>
        <w:t>企业改革遗留的一系列问题，企业和政府将进一步减负；国家和省、市支持经济发展方式转型升级的各项政策陆续出台，使得加速望花区经济发展与振兴的格局全面形成；全国基础建设和环境治理进入高标准、常态化，为城市转型提供了基础保障。望花区地理位置优越，空间定位科学，规划超前，特别是经过多年来的努力，全区干部群众服务和参与发展的信心倍增、热情高涨，形成了良好的发展氛围。这些机遇，对加速望花发展与振兴将起到积极的推动作用。</w:t>
      </w:r>
    </w:p>
    <w:p>
      <w:pPr>
        <w:pageBreakBefore w:val="0"/>
        <w:kinsoku/>
        <w:wordWrap/>
        <w:overflowPunct w:val="0"/>
        <w:topLinePunct w:val="0"/>
        <w:bidi w:val="0"/>
        <w:ind w:right="0" w:rightChars="0"/>
        <w:rPr>
          <w:rFonts w:hint="eastAsia" w:ascii="仿宋_GB2312" w:eastAsia="仿宋_GB2312"/>
          <w:sz w:val="24"/>
          <w:szCs w:val="24"/>
        </w:rPr>
      </w:pPr>
    </w:p>
    <w:p>
      <w:pPr>
        <w:pStyle w:val="2"/>
        <w:keepNext/>
        <w:keepLines/>
        <w:pageBreakBefore w:val="0"/>
        <w:widowControl w:val="0"/>
        <w:kinsoku/>
        <w:wordWrap/>
        <w:overflowPunct/>
        <w:topLinePunct w:val="0"/>
        <w:autoSpaceDE/>
        <w:autoSpaceDN/>
        <w:bidi w:val="0"/>
        <w:adjustRightInd/>
        <w:snapToGrid/>
        <w:spacing w:before="220" w:beforeLines="0" w:after="90" w:afterLines="0" w:line="240" w:lineRule="exact"/>
        <w:ind w:left="0" w:leftChars="0" w:right="0" w:rightChars="0" w:firstLine="0" w:firstLineChars="0"/>
        <w:jc w:val="center"/>
        <w:textAlignment w:val="auto"/>
        <w:outlineLvl w:val="0"/>
        <w:rPr>
          <w:rFonts w:hint="eastAsia"/>
        </w:rPr>
      </w:pPr>
      <w:bookmarkStart w:id="4" w:name="_Toc896"/>
      <w:r>
        <w:rPr>
          <w:rFonts w:hint="eastAsia"/>
        </w:rPr>
        <w:t>第二章  总体思路与发展目标</w:t>
      </w:r>
      <w:bookmarkEnd w:id="4"/>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Style w:val="3"/>
        <w:keepNext/>
        <w:keepLines/>
        <w:pageBreakBefore w:val="0"/>
        <w:widowControl w:val="0"/>
        <w:kinsoku/>
        <w:wordWrap/>
        <w:overflowPunct/>
        <w:topLinePunct w:val="0"/>
        <w:autoSpaceDE/>
        <w:autoSpaceDN/>
        <w:bidi w:val="0"/>
        <w:adjustRightInd/>
        <w:snapToGrid/>
        <w:spacing w:before="260" w:beforeLines="0" w:after="260" w:afterLines="0" w:line="240" w:lineRule="exact"/>
        <w:ind w:left="0" w:leftChars="0" w:right="0" w:rightChars="0" w:firstLine="0" w:firstLineChars="0"/>
        <w:jc w:val="center"/>
        <w:textAlignment w:val="auto"/>
        <w:outlineLvl w:val="1"/>
        <w:rPr>
          <w:rFonts w:hint="eastAsia"/>
        </w:rPr>
      </w:pPr>
      <w:bookmarkStart w:id="5" w:name="_Toc7481"/>
      <w:r>
        <w:rPr>
          <w:rFonts w:hint="eastAsia"/>
        </w:rPr>
        <w:t>第一节  指导思想</w:t>
      </w:r>
      <w:bookmarkEnd w:id="5"/>
    </w:p>
    <w:p>
      <w:pPr>
        <w:pageBreakBefore w:val="0"/>
        <w:kinsoku/>
        <w:wordWrap/>
        <w:overflowPunct w:val="0"/>
        <w:topLinePunct w:val="0"/>
        <w:bidi w:val="0"/>
        <w:ind w:right="0" w:rightChars="0"/>
        <w:rPr>
          <w:rFonts w:hint="eastAsia" w:ascii="仿宋_GB2312" w:eastAsia="仿宋_GB2312"/>
          <w:sz w:val="24"/>
          <w:szCs w:val="24"/>
        </w:rPr>
      </w:pP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高举中国特色社会主义伟大旗帜，以马克思列宁主义、毛泽东思想、邓小平理论、“三个代表”重要思想、科学发展观为指导，全面贯彻落实党的十八大和十八届三中、四中、五中全会精神，深入学习贯彻习近平总书记系列重要讲话精神，</w:t>
      </w:r>
      <w:r>
        <w:rPr>
          <w:rFonts w:hint="eastAsia" w:ascii="仿宋_GB2312" w:eastAsia="仿宋_GB2312"/>
          <w:sz w:val="32"/>
          <w:szCs w:val="32"/>
          <w:lang w:eastAsia="zh-CN"/>
        </w:rPr>
        <w:t>遵循创新、协调、绿色、开放、共享发展理念，以</w:t>
      </w:r>
      <w:r>
        <w:rPr>
          <w:rFonts w:hint="eastAsia" w:ascii="仿宋_GB2312" w:eastAsia="仿宋_GB2312"/>
          <w:sz w:val="32"/>
          <w:szCs w:val="32"/>
        </w:rPr>
        <w:t>“四个全面”战略布局</w:t>
      </w:r>
      <w:r>
        <w:rPr>
          <w:rFonts w:hint="eastAsia" w:ascii="仿宋_GB2312" w:eastAsia="仿宋_GB2312"/>
          <w:sz w:val="32"/>
          <w:szCs w:val="32"/>
          <w:lang w:eastAsia="zh-CN"/>
        </w:rPr>
        <w:t>为统领</w:t>
      </w:r>
      <w:r>
        <w:rPr>
          <w:rFonts w:hint="eastAsia" w:ascii="仿宋_GB2312" w:eastAsia="仿宋_GB2312"/>
          <w:sz w:val="32"/>
          <w:szCs w:val="32"/>
        </w:rPr>
        <w:t>，</w:t>
      </w:r>
      <w:r>
        <w:rPr>
          <w:rFonts w:hint="eastAsia" w:ascii="仿宋_GB2312" w:eastAsia="仿宋_GB2312"/>
          <w:sz w:val="32"/>
          <w:szCs w:val="32"/>
          <w:lang w:eastAsia="zh-CN"/>
        </w:rPr>
        <w:t>贯彻</w:t>
      </w:r>
      <w:r>
        <w:rPr>
          <w:rFonts w:hint="eastAsia" w:ascii="仿宋_GB2312" w:eastAsia="仿宋_GB2312"/>
          <w:sz w:val="32"/>
          <w:szCs w:val="32"/>
        </w:rPr>
        <w:t>“四个着力”要求，牢牢把握发展第一要务，抢抓国家“一带一路”、新一轮东北振兴和京津冀协同发展等重大机遇，准确把握和主动适应经济发展新常态，全面实施改革创新驱动、科学绿色发展、一城两区布局，以新型工业化、信息化、城镇化和农业现代化融合互动引领经济转型，以民计民生改善和事业共同繁荣促进社会和谐，努力建设功能完善、充满活力、宜居宜业的</w:t>
      </w:r>
      <w:r>
        <w:rPr>
          <w:rFonts w:hint="eastAsia" w:ascii="仿宋_GB2312" w:eastAsia="仿宋_GB2312"/>
          <w:sz w:val="32"/>
          <w:szCs w:val="32"/>
          <w:lang w:eastAsia="zh-CN"/>
        </w:rPr>
        <w:t>幸福</w:t>
      </w:r>
      <w:r>
        <w:rPr>
          <w:rFonts w:hint="eastAsia" w:ascii="仿宋_GB2312" w:eastAsia="仿宋_GB2312"/>
          <w:sz w:val="32"/>
          <w:szCs w:val="32"/>
        </w:rPr>
        <w:t>美丽新望花。</w:t>
      </w: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Style w:val="3"/>
        <w:pageBreakBefore w:val="0"/>
        <w:widowControl w:val="0"/>
        <w:kinsoku/>
        <w:wordWrap/>
        <w:topLinePunct w:val="0"/>
        <w:autoSpaceDE/>
        <w:autoSpaceDN/>
        <w:bidi w:val="0"/>
        <w:adjustRightInd/>
        <w:snapToGrid/>
        <w:spacing w:line="240" w:lineRule="exact"/>
        <w:ind w:left="0" w:leftChars="0" w:right="0" w:rightChars="0" w:firstLine="0" w:firstLineChars="0"/>
        <w:textAlignment w:val="auto"/>
        <w:rPr>
          <w:rFonts w:hint="eastAsia"/>
        </w:rPr>
      </w:pPr>
      <w:bookmarkStart w:id="6" w:name="_Toc5585"/>
      <w:r>
        <w:rPr>
          <w:rFonts w:hint="eastAsia"/>
        </w:rPr>
        <w:t>第二节  基本原则</w:t>
      </w:r>
      <w:bookmarkEnd w:id="6"/>
    </w:p>
    <w:p>
      <w:pPr>
        <w:pageBreakBefore w:val="0"/>
        <w:kinsoku/>
        <w:wordWrap/>
        <w:overflowPunct w:val="0"/>
        <w:topLinePunct w:val="0"/>
        <w:bidi w:val="0"/>
        <w:ind w:right="0" w:rightChars="0"/>
        <w:rPr>
          <w:rFonts w:hint="eastAsia" w:ascii="仿宋_GB2312" w:eastAsia="仿宋_GB2312"/>
          <w:sz w:val="24"/>
          <w:szCs w:val="24"/>
        </w:rPr>
      </w:pP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rPr>
        <w:t>深化改革、创新驱动。</w:t>
      </w:r>
      <w:r>
        <w:rPr>
          <w:rFonts w:hint="eastAsia" w:ascii="仿宋_GB2312" w:eastAsia="仿宋_GB2312"/>
          <w:sz w:val="32"/>
          <w:szCs w:val="32"/>
        </w:rPr>
        <w:t>坚持用改革创新的办法破解发展难题，加大改革攻坚力度，抓住经济社会发展中的突出矛盾，深化重点领域和关键环节改革，更好地发挥市场机制的基础性作用。充分发挥科技第一生产力和人才第一资源作用，切实用好“政产学研</w:t>
      </w:r>
      <w:r>
        <w:rPr>
          <w:rFonts w:hint="eastAsia" w:ascii="仿宋_GB2312" w:eastAsia="仿宋_GB2312"/>
          <w:sz w:val="32"/>
          <w:szCs w:val="32"/>
          <w:lang w:eastAsia="zh-CN"/>
        </w:rPr>
        <w:t>金</w:t>
      </w:r>
      <w:r>
        <w:rPr>
          <w:rFonts w:hint="eastAsia" w:ascii="仿宋_GB2312" w:eastAsia="仿宋_GB2312"/>
          <w:sz w:val="32"/>
          <w:szCs w:val="32"/>
        </w:rPr>
        <w:t>”联盟平台，以创新</w:t>
      </w:r>
      <w:r>
        <w:rPr>
          <w:rFonts w:hint="eastAsia" w:ascii="仿宋_GB2312" w:eastAsia="仿宋_GB2312"/>
          <w:sz w:val="32"/>
          <w:szCs w:val="32"/>
          <w:lang w:eastAsia="zh-CN"/>
        </w:rPr>
        <w:t>驱动</w:t>
      </w:r>
      <w:r>
        <w:rPr>
          <w:rFonts w:hint="eastAsia" w:ascii="仿宋_GB2312" w:eastAsia="仿宋_GB2312"/>
          <w:sz w:val="32"/>
          <w:szCs w:val="32"/>
        </w:rPr>
        <w:t>为支撑，营造大众创业、万众创新的政策和制度环境，激发调动全社会创新创业激情，让企业真正成为创新主体，推动科技创新、产业创新、企业创新、市场创新、产品创新、业态创新和管理创新。</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i w:val="0"/>
          <w:iCs w:val="0"/>
          <w:sz w:val="32"/>
          <w:szCs w:val="32"/>
        </w:rPr>
        <w:t>产业支撑、项目牵动。</w:t>
      </w:r>
      <w:r>
        <w:rPr>
          <w:rFonts w:hint="eastAsia" w:ascii="仿宋_GB2312" w:eastAsia="仿宋_GB2312"/>
          <w:sz w:val="32"/>
          <w:szCs w:val="32"/>
        </w:rPr>
        <w:t>坚持把产业项目作为经济发展的重要支撑点和谋求经济跨越发展的动力源，全力推进老工业区搬迁改造，实现“退二进三”，优化功能区布局和产业定位。转变农业发展方式，强化工业基础地位，发展战略性新兴产业，加快发展服务业，促进经济由主要依靠第二产业拉动向二、三产业协同拉动转变。</w:t>
      </w:r>
    </w:p>
    <w:p>
      <w:pPr>
        <w:pageBreakBefore w:val="0"/>
        <w:kinsoku/>
        <w:wordWrap/>
        <w:overflowPunct w:val="0"/>
        <w:topLinePunct w:val="0"/>
        <w:bidi w:val="0"/>
        <w:ind w:right="0" w:rightChars="0"/>
        <w:rPr>
          <w:rFonts w:hint="eastAsia" w:ascii="仿宋_GB2312" w:eastAsia="仿宋_GB2312"/>
          <w:sz w:val="24"/>
          <w:szCs w:val="24"/>
        </w:rPr>
      </w:pPr>
      <w:r>
        <w:rPr>
          <w:rFonts w:hint="eastAsia" w:ascii="仿宋_GB2312" w:eastAsia="仿宋_GB2312"/>
          <w:sz w:val="32"/>
          <w:szCs w:val="32"/>
          <w:lang w:val="en-US" w:eastAsia="zh-CN"/>
        </w:rPr>
        <w:t xml:space="preserve">   </w:t>
      </w:r>
      <w:r>
        <w:rPr>
          <w:rFonts w:hint="eastAsia" w:ascii="仿宋_GB2312" w:eastAsia="仿宋_GB2312"/>
          <w:b/>
          <w:bCs/>
          <w:sz w:val="32"/>
          <w:szCs w:val="32"/>
          <w:lang w:val="en-US" w:eastAsia="zh-CN"/>
        </w:rPr>
        <w:t xml:space="preserve"> </w:t>
      </w:r>
      <w:r>
        <w:rPr>
          <w:rFonts w:hint="eastAsia" w:ascii="仿宋_GB2312" w:eastAsia="仿宋_GB2312"/>
          <w:b/>
          <w:bCs/>
          <w:sz w:val="32"/>
          <w:szCs w:val="32"/>
        </w:rPr>
        <w:t>民生为先、绿色发展。</w:t>
      </w:r>
      <w:r>
        <w:rPr>
          <w:rFonts w:hint="eastAsia" w:ascii="仿宋_GB2312" w:eastAsia="仿宋_GB2312"/>
          <w:sz w:val="32"/>
          <w:szCs w:val="32"/>
        </w:rPr>
        <w:t>着力推进以保障和改善民生为重点的社会建设。坚持就业为先，推进基本公共服务均等化，解决好人民群众关心的重大民生问题，不断提高人民群众生活质量和收入水平，使发展成果更广泛、更均衡、更公平地惠及人民群众。注重经济发展与环境保护协调统一，发展低碳环保经济，实现可持续发展，加快建设资源节约型、环境友好型社会。</w:t>
      </w: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Style w:val="3"/>
        <w:pageBreakBefore w:val="0"/>
        <w:widowControl w:val="0"/>
        <w:kinsoku/>
        <w:wordWrap/>
        <w:topLinePunct w:val="0"/>
        <w:autoSpaceDE/>
        <w:autoSpaceDN/>
        <w:bidi w:val="0"/>
        <w:adjustRightInd/>
        <w:snapToGrid/>
        <w:spacing w:line="240" w:lineRule="exact"/>
        <w:ind w:left="0" w:leftChars="0" w:right="0" w:rightChars="0" w:firstLine="0" w:firstLineChars="0"/>
        <w:textAlignment w:val="auto"/>
        <w:rPr>
          <w:rFonts w:hint="eastAsia"/>
        </w:rPr>
      </w:pPr>
      <w:bookmarkStart w:id="7" w:name="_Toc11892"/>
      <w:r>
        <w:rPr>
          <w:rFonts w:hint="eastAsia"/>
        </w:rPr>
        <w:t>第三节  发展目标</w:t>
      </w:r>
      <w:bookmarkEnd w:id="7"/>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到“十三五”末期，全面建成小康社会，城区经济转型取得重大进展，实现第一个百年奋斗目标。经济社会发展的主要目标是：</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rPr>
        <w:t>经济发展质量和效益明显提高。</w:t>
      </w:r>
      <w:r>
        <w:rPr>
          <w:rFonts w:hint="eastAsia" w:ascii="仿宋_GB2312" w:eastAsia="仿宋_GB2312"/>
          <w:sz w:val="32"/>
          <w:szCs w:val="32"/>
        </w:rPr>
        <w:t>经济保持中高速增长，地区生产总值年均增长6.5%；公共财政预算收入年均增长5%；固定资产投资年均增长8%；社会消费品零售额年均增长7%；外贸出口年均增长10%。</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rPr>
        <w:t>经济结构调整取得重大进展。</w:t>
      </w:r>
      <w:r>
        <w:rPr>
          <w:rFonts w:hint="eastAsia" w:ascii="仿宋_GB2312" w:eastAsia="仿宋_GB2312"/>
          <w:sz w:val="32"/>
          <w:szCs w:val="32"/>
        </w:rPr>
        <w:t>“一城两区”的产业空间格局活力初显，工业化、信息化深度融合，新型工业化水平提升，现代服务业加速发展，消费需求进一步扩大，服务业占地区生产总值比重上升，互联网普及率达到55%以上，农业主导产业提质升级步伐加快，农业现代化和社会主义新农村建设成效明显，三次产业结构比优化为1∶55∶44。城镇化质量明显提高，城乡一体化步伐加快，区域协调发展机制基本形成。</w:t>
      </w:r>
    </w:p>
    <w:p>
      <w:pPr>
        <w:pageBreakBefore w:val="0"/>
        <w:kinsoku/>
        <w:wordWrap/>
        <w:overflowPunct w:val="0"/>
        <w:topLinePunct w:val="0"/>
        <w:bidi w:val="0"/>
        <w:ind w:right="0" w:rightChars="0"/>
        <w:jc w:val="both"/>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rPr>
        <w:t>创新驱动发展能力提升。</w:t>
      </w:r>
      <w:r>
        <w:rPr>
          <w:rFonts w:hint="eastAsia" w:ascii="仿宋_GB2312" w:eastAsia="仿宋_GB2312"/>
          <w:sz w:val="32"/>
          <w:szCs w:val="32"/>
        </w:rPr>
        <w:t>科技研发经费投入逐年递增，全社会研发经费投入占地区生产总值比重达2.5%以上，科技进步对经济增长的贡献率达75%以上。全民受教育程度和创新人才培养水平明显提高。以企业为主体的技术创新体系初步形成，自主创新能力全面提升，构建创新型经济体系和创新发展新模式。</w:t>
      </w:r>
    </w:p>
    <w:p>
      <w:pPr>
        <w:pageBreakBefore w:val="0"/>
        <w:kinsoku/>
        <w:wordWrap/>
        <w:overflowPunct w:val="0"/>
        <w:topLinePunct w:val="0"/>
        <w:bidi w:val="0"/>
        <w:ind w:right="0" w:rightChars="0"/>
        <w:jc w:val="both"/>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rPr>
        <w:t>改革开放实现突破。</w:t>
      </w:r>
      <w:r>
        <w:rPr>
          <w:rFonts w:hint="eastAsia" w:ascii="仿宋_GB2312" w:eastAsia="仿宋_GB2312"/>
          <w:sz w:val="32"/>
          <w:szCs w:val="32"/>
        </w:rPr>
        <w:t>重要领域和关键环节改革取得重大成果，形成系统完备、科学规范、运行有效的体制机制。全面完成中央和省市提出的各项改革任务。对外开放水平大幅提高，“走出去”和“引进来”双轮驱动、协同推进。</w:t>
      </w:r>
    </w:p>
    <w:p>
      <w:pPr>
        <w:pageBreakBefore w:val="0"/>
        <w:kinsoku/>
        <w:wordWrap/>
        <w:overflowPunct w:val="0"/>
        <w:topLinePunct w:val="0"/>
        <w:bidi w:val="0"/>
        <w:ind w:right="0" w:rightChars="0" w:firstLine="640" w:firstLineChars="200"/>
        <w:jc w:val="both"/>
        <w:rPr>
          <w:rFonts w:hint="eastAsia" w:ascii="仿宋_GB2312" w:eastAsia="仿宋_GB2312"/>
          <w:sz w:val="32"/>
          <w:szCs w:val="32"/>
        </w:rPr>
      </w:pPr>
      <w:r>
        <w:rPr>
          <w:rFonts w:hint="eastAsia" w:ascii="仿宋_GB2312" w:eastAsia="仿宋_GB2312"/>
          <w:b/>
          <w:bCs/>
          <w:sz w:val="32"/>
          <w:szCs w:val="32"/>
        </w:rPr>
        <w:t>文化和社会建设明显加强。</w:t>
      </w:r>
      <w:r>
        <w:rPr>
          <w:rFonts w:hint="eastAsia" w:ascii="仿宋_GB2312" w:eastAsia="仿宋_GB2312"/>
          <w:sz w:val="32"/>
          <w:szCs w:val="32"/>
        </w:rPr>
        <w:t>社会主义核心价值观根植人心，爱国主义、集体主义、社会主义思想广泛弘扬，公民素质和社会文明程度明显提高。科教、医疗卫生等社会事业全面发展，公共文化服务体系基本建成，每万人口拥有公共文化设施建筑面积达到400平方米以上。社会治理制度不断健全，法治政府建设全面推进，基层民主参选率达到95%以上，注册志愿者占居民人口比例达到10%以上。</w:t>
      </w:r>
    </w:p>
    <w:p>
      <w:pPr>
        <w:keepNext w:val="0"/>
        <w:keepLines w:val="0"/>
        <w:pageBreakBefore w:val="0"/>
        <w:widowControl w:val="0"/>
        <w:kinsoku/>
        <w:wordWrap/>
        <w:overflowPunct w:val="0"/>
        <w:topLinePunct w:val="0"/>
        <w:autoSpaceDE/>
        <w:autoSpaceDN/>
        <w:bidi w:val="0"/>
        <w:adjustRightInd/>
        <w:snapToGrid/>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_GB2312" w:eastAsia="仿宋_GB2312"/>
          <w:b/>
          <w:bCs/>
          <w:sz w:val="32"/>
          <w:szCs w:val="32"/>
        </w:rPr>
        <w:t>资源节约和生态环境继续改善。</w:t>
      </w:r>
      <w:r>
        <w:rPr>
          <w:rFonts w:hint="eastAsia" w:ascii="仿宋_GB2312" w:eastAsia="仿宋_GB2312"/>
          <w:sz w:val="32"/>
          <w:szCs w:val="32"/>
        </w:rPr>
        <w:t>生态文明体制机制不断创新，推动绿色、循环、低碳的发展，单位GDP能耗年均下降3.9%，城市建成区绿化覆盖率达2</w:t>
      </w:r>
      <w:r>
        <w:rPr>
          <w:rFonts w:hint="eastAsia" w:ascii="仿宋_GB2312" w:eastAsia="仿宋_GB2312"/>
          <w:sz w:val="32"/>
          <w:szCs w:val="32"/>
          <w:lang w:val="en-US" w:eastAsia="zh-CN"/>
        </w:rPr>
        <w:t>5</w:t>
      </w:r>
      <w:r>
        <w:rPr>
          <w:rFonts w:hint="eastAsia" w:ascii="仿宋_GB2312" w:eastAsia="仿宋_GB2312"/>
          <w:sz w:val="32"/>
          <w:szCs w:val="32"/>
        </w:rPr>
        <w:t>%以上，人均公共绿地面积达</w:t>
      </w:r>
      <w:r>
        <w:rPr>
          <w:rFonts w:hint="eastAsia" w:ascii="仿宋_GB2312" w:eastAsia="仿宋_GB2312"/>
          <w:sz w:val="32"/>
          <w:szCs w:val="32"/>
          <w:lang w:val="en-US" w:eastAsia="zh-CN"/>
        </w:rPr>
        <w:t>7</w:t>
      </w:r>
      <w:r>
        <w:rPr>
          <w:rFonts w:hint="eastAsia" w:ascii="仿宋_GB2312" w:eastAsia="仿宋_GB2312"/>
          <w:sz w:val="32"/>
          <w:szCs w:val="32"/>
        </w:rPr>
        <w:t>平方米以上，农村森林覆</w:t>
      </w:r>
      <w:r>
        <w:rPr>
          <w:rFonts w:hint="eastAsia" w:ascii="仿宋_GB2312" w:eastAsia="仿宋_GB2312"/>
          <w:sz w:val="32"/>
          <w:szCs w:val="32"/>
          <w:lang w:eastAsia="zh-CN"/>
        </w:rPr>
        <w:t>盖</w:t>
      </w:r>
      <w:r>
        <w:rPr>
          <w:rFonts w:hint="eastAsia" w:ascii="仿宋_GB2312" w:eastAsia="仿宋_GB2312"/>
          <w:sz w:val="32"/>
          <w:szCs w:val="32"/>
        </w:rPr>
        <w:t>率稳定在26%以上，城市空气质量优良率保持在70%以上，城镇污水处理率达到80%以上，农村生活垃圾无害化处置率达80%以上。</w:t>
      </w:r>
    </w:p>
    <w:p>
      <w:pPr>
        <w:pageBreakBefore w:val="0"/>
        <w:kinsoku/>
        <w:wordWrap/>
        <w:overflowPunct w:val="0"/>
        <w:topLinePunct w:val="0"/>
        <w:bidi w:val="0"/>
        <w:ind w:right="0" w:rightChars="0" w:firstLine="640" w:firstLineChars="200"/>
        <w:rPr>
          <w:rFonts w:hint="eastAsia" w:ascii="仿宋_GB2312" w:eastAsia="仿宋_GB2312"/>
          <w:sz w:val="32"/>
          <w:szCs w:val="32"/>
        </w:rPr>
      </w:pPr>
      <w:r>
        <w:rPr>
          <w:rFonts w:hint="eastAsia" w:ascii="仿宋_GB2312" w:eastAsia="仿宋_GB2312"/>
          <w:b/>
          <w:bCs/>
          <w:sz w:val="32"/>
          <w:szCs w:val="32"/>
        </w:rPr>
        <w:t>人民生活质量和水平显著提高。</w:t>
      </w:r>
      <w:r>
        <w:rPr>
          <w:rFonts w:hint="eastAsia" w:ascii="仿宋_GB2312" w:eastAsia="仿宋_GB2312"/>
          <w:sz w:val="32"/>
          <w:szCs w:val="32"/>
        </w:rPr>
        <w:t>城乡居民收入保持与经济同步增长，年均增长7％以上，收入分配差距缩小，消灭全区绝对贫困人口。人民群众就业创业水平持续提升，城镇登记失业率低于4.5%。社会保障体系更加完善，城乡医疗保险与养老保险参保率保持在97%以上。</w:t>
      </w:r>
    </w:p>
    <w:tbl>
      <w:tblPr>
        <w:tblStyle w:val="11"/>
        <w:tblW w:w="8775" w:type="dxa"/>
        <w:tblInd w:w="1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3312"/>
        <w:gridCol w:w="60"/>
        <w:gridCol w:w="960"/>
        <w:gridCol w:w="1020"/>
        <w:gridCol w:w="1134"/>
        <w:gridCol w:w="14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9" w:hRule="atLeast"/>
        </w:trPr>
        <w:tc>
          <w:tcPr>
            <w:tcW w:w="8775" w:type="dxa"/>
            <w:gridSpan w:val="7"/>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b/>
                <w:sz w:val="28"/>
                <w:szCs w:val="28"/>
              </w:rPr>
            </w:pPr>
            <w:r>
              <w:rPr>
                <w:rFonts w:hint="eastAsia" w:ascii="宋体" w:hAnsi="宋体" w:eastAsia="宋体" w:cs="宋体"/>
                <w:b/>
                <w:sz w:val="28"/>
                <w:szCs w:val="28"/>
                <w:lang w:eastAsia="zh-CN"/>
              </w:rPr>
              <w:t>专栏二：</w:t>
            </w:r>
            <w:r>
              <w:rPr>
                <w:rFonts w:hint="eastAsia" w:ascii="宋体" w:hAnsi="宋体" w:eastAsia="宋体" w:cs="宋体"/>
                <w:b/>
                <w:sz w:val="28"/>
                <w:szCs w:val="28"/>
              </w:rPr>
              <w:t>“十三五”时期经济社会发展主要指标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5" w:hRule="atLeast"/>
        </w:trPr>
        <w:tc>
          <w:tcPr>
            <w:tcW w:w="4135" w:type="dxa"/>
            <w:gridSpan w:val="2"/>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b/>
                <w:sz w:val="18"/>
                <w:szCs w:val="18"/>
              </w:rPr>
            </w:pPr>
            <w:r>
              <w:rPr>
                <w:rFonts w:hint="eastAsia" w:ascii="宋体" w:hAnsi="宋体" w:eastAsia="宋体" w:cs="宋体"/>
                <w:b/>
                <w:sz w:val="18"/>
                <w:szCs w:val="18"/>
              </w:rPr>
              <w:t>指        标</w:t>
            </w:r>
          </w:p>
        </w:tc>
        <w:tc>
          <w:tcPr>
            <w:tcW w:w="1020" w:type="dxa"/>
            <w:gridSpan w:val="2"/>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b/>
                <w:sz w:val="18"/>
                <w:szCs w:val="18"/>
              </w:rPr>
            </w:pPr>
            <w:r>
              <w:rPr>
                <w:rFonts w:hint="eastAsia" w:ascii="宋体" w:hAnsi="宋体" w:eastAsia="宋体" w:cs="宋体"/>
                <w:b/>
                <w:sz w:val="18"/>
                <w:szCs w:val="18"/>
              </w:rPr>
              <w:t>2015年</w:t>
            </w:r>
          </w:p>
          <w:p>
            <w:pPr>
              <w:pageBreakBefore w:val="0"/>
              <w:kinsoku/>
              <w:wordWrap/>
              <w:overflowPunct w:val="0"/>
              <w:topLinePunct w:val="0"/>
              <w:bidi w:val="0"/>
              <w:spacing w:line="300" w:lineRule="exact"/>
              <w:ind w:right="0" w:rightChars="0"/>
              <w:jc w:val="center"/>
              <w:rPr>
                <w:rFonts w:hint="eastAsia" w:ascii="宋体" w:hAnsi="宋体" w:eastAsia="宋体" w:cs="宋体"/>
                <w:b/>
                <w:sz w:val="18"/>
                <w:szCs w:val="18"/>
              </w:rPr>
            </w:pPr>
            <w:r>
              <w:rPr>
                <w:rFonts w:hint="eastAsia" w:ascii="宋体" w:hAnsi="宋体" w:eastAsia="宋体" w:cs="宋体"/>
                <w:b/>
                <w:sz w:val="18"/>
                <w:szCs w:val="18"/>
              </w:rPr>
              <w:t>基数</w:t>
            </w:r>
          </w:p>
        </w:tc>
        <w:tc>
          <w:tcPr>
            <w:tcW w:w="1020"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b/>
                <w:sz w:val="18"/>
                <w:szCs w:val="18"/>
              </w:rPr>
            </w:pPr>
            <w:r>
              <w:rPr>
                <w:rFonts w:hint="eastAsia" w:ascii="宋体" w:hAnsi="宋体" w:eastAsia="宋体" w:cs="宋体"/>
                <w:b/>
                <w:sz w:val="18"/>
                <w:szCs w:val="18"/>
              </w:rPr>
              <w:t>2020年</w:t>
            </w:r>
          </w:p>
          <w:p>
            <w:pPr>
              <w:pageBreakBefore w:val="0"/>
              <w:kinsoku/>
              <w:wordWrap/>
              <w:overflowPunct w:val="0"/>
              <w:topLinePunct w:val="0"/>
              <w:bidi w:val="0"/>
              <w:spacing w:line="300" w:lineRule="exact"/>
              <w:ind w:right="0" w:rightChars="0"/>
              <w:jc w:val="center"/>
              <w:rPr>
                <w:rFonts w:hint="eastAsia" w:ascii="宋体" w:hAnsi="宋体" w:eastAsia="宋体" w:cs="宋体"/>
                <w:b/>
                <w:sz w:val="18"/>
                <w:szCs w:val="18"/>
              </w:rPr>
            </w:pPr>
            <w:r>
              <w:rPr>
                <w:rFonts w:hint="eastAsia" w:ascii="宋体" w:hAnsi="宋体" w:eastAsia="宋体" w:cs="宋体"/>
                <w:b/>
                <w:sz w:val="18"/>
                <w:szCs w:val="18"/>
              </w:rPr>
              <w:t>目标</w:t>
            </w:r>
          </w:p>
        </w:tc>
        <w:tc>
          <w:tcPr>
            <w:tcW w:w="1134"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b/>
                <w:sz w:val="18"/>
                <w:szCs w:val="18"/>
              </w:rPr>
            </w:pPr>
            <w:r>
              <w:rPr>
                <w:rFonts w:hint="eastAsia" w:ascii="宋体" w:hAnsi="宋体" w:eastAsia="宋体" w:cs="宋体"/>
                <w:b/>
                <w:sz w:val="18"/>
                <w:szCs w:val="18"/>
              </w:rPr>
              <w:t>累计或年均</w:t>
            </w:r>
          </w:p>
          <w:p>
            <w:pPr>
              <w:pageBreakBefore w:val="0"/>
              <w:kinsoku/>
              <w:wordWrap/>
              <w:overflowPunct w:val="0"/>
              <w:topLinePunct w:val="0"/>
              <w:bidi w:val="0"/>
              <w:spacing w:line="300" w:lineRule="exact"/>
              <w:ind w:right="0" w:rightChars="0"/>
              <w:jc w:val="center"/>
              <w:rPr>
                <w:rFonts w:hint="eastAsia" w:ascii="宋体" w:hAnsi="宋体" w:eastAsia="宋体" w:cs="宋体"/>
                <w:b/>
                <w:sz w:val="18"/>
                <w:szCs w:val="18"/>
              </w:rPr>
            </w:pPr>
            <w:r>
              <w:rPr>
                <w:rFonts w:hint="eastAsia" w:ascii="宋体" w:hAnsi="宋体" w:eastAsia="宋体" w:cs="宋体"/>
                <w:b/>
                <w:sz w:val="18"/>
                <w:szCs w:val="18"/>
              </w:rPr>
              <w:t>增长（%）</w:t>
            </w:r>
          </w:p>
        </w:tc>
        <w:tc>
          <w:tcPr>
            <w:tcW w:w="1466"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b/>
                <w:sz w:val="18"/>
                <w:szCs w:val="18"/>
              </w:rPr>
            </w:pPr>
            <w:r>
              <w:rPr>
                <w:rFonts w:hint="eastAsia" w:ascii="宋体" w:hAnsi="宋体" w:eastAsia="宋体" w:cs="宋体"/>
                <w:b/>
                <w:sz w:val="18"/>
                <w:szCs w:val="18"/>
              </w:rPr>
              <w:t>属　　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8775" w:type="dxa"/>
            <w:gridSpan w:val="7"/>
            <w:vAlign w:val="center"/>
          </w:tcPr>
          <w:p>
            <w:pPr>
              <w:pageBreakBefore w:val="0"/>
              <w:kinsoku/>
              <w:wordWrap/>
              <w:overflowPunct w:val="0"/>
              <w:topLinePunct w:val="0"/>
              <w:bidi w:val="0"/>
              <w:spacing w:line="300" w:lineRule="exact"/>
              <w:ind w:right="0" w:rightChars="0"/>
              <w:rPr>
                <w:rFonts w:hint="eastAsia" w:ascii="宋体" w:hAnsi="宋体" w:eastAsia="宋体" w:cs="宋体"/>
                <w:szCs w:val="21"/>
              </w:rPr>
            </w:pPr>
            <w:r>
              <w:rPr>
                <w:rFonts w:hint="eastAsia" w:ascii="宋体" w:hAnsi="宋体" w:eastAsia="宋体" w:cs="宋体"/>
                <w:b/>
                <w:szCs w:val="21"/>
              </w:rPr>
              <w:t>民生福祉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7" w:hRule="atLeast"/>
        </w:trPr>
        <w:tc>
          <w:tcPr>
            <w:tcW w:w="4195" w:type="dxa"/>
            <w:gridSpan w:val="3"/>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rPr>
            </w:pPr>
            <w:r>
              <w:rPr>
                <w:rFonts w:hint="eastAsia" w:ascii="宋体" w:hAnsi="宋体" w:eastAsia="宋体" w:cs="宋体"/>
                <w:sz w:val="20"/>
                <w:szCs w:val="20"/>
              </w:rPr>
              <w:t>居民人均可支配收入（元）</w:t>
            </w:r>
          </w:p>
        </w:tc>
        <w:tc>
          <w:tcPr>
            <w:tcW w:w="960"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24427</w:t>
            </w:r>
          </w:p>
        </w:tc>
        <w:tc>
          <w:tcPr>
            <w:tcW w:w="1020"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lang w:val="en-US" w:eastAsia="zh-CN"/>
              </w:rPr>
            </w:pPr>
            <w:r>
              <w:rPr>
                <w:rFonts w:hint="eastAsia" w:ascii="宋体" w:hAnsi="宋体" w:cs="宋体"/>
                <w:sz w:val="20"/>
                <w:szCs w:val="20"/>
                <w:lang w:val="en-US" w:eastAsia="zh-CN"/>
              </w:rPr>
              <w:t>36658</w:t>
            </w:r>
          </w:p>
        </w:tc>
        <w:tc>
          <w:tcPr>
            <w:tcW w:w="1134"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rPr>
            </w:pPr>
            <w:r>
              <w:rPr>
                <w:rFonts w:hint="eastAsia" w:ascii="宋体" w:hAnsi="宋体" w:eastAsia="宋体" w:cs="宋体"/>
                <w:sz w:val="20"/>
                <w:szCs w:val="20"/>
              </w:rPr>
              <w:t>7</w:t>
            </w:r>
          </w:p>
        </w:tc>
        <w:tc>
          <w:tcPr>
            <w:tcW w:w="1466"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rPr>
            </w:pPr>
            <w:r>
              <w:rPr>
                <w:rFonts w:hint="eastAsia" w:ascii="宋体" w:hAnsi="宋体" w:eastAsia="宋体" w:cs="宋体"/>
                <w:sz w:val="20"/>
                <w:szCs w:val="20"/>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8" w:hRule="atLeast"/>
        </w:trPr>
        <w:tc>
          <w:tcPr>
            <w:tcW w:w="4195" w:type="dxa"/>
            <w:gridSpan w:val="3"/>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rPr>
            </w:pPr>
            <w:r>
              <w:rPr>
                <w:rFonts w:hint="eastAsia" w:ascii="宋体" w:hAnsi="宋体" w:eastAsia="宋体" w:cs="宋体"/>
                <w:sz w:val="20"/>
                <w:szCs w:val="20"/>
              </w:rPr>
              <w:t>城镇</w:t>
            </w:r>
            <w:r>
              <w:rPr>
                <w:rFonts w:hint="eastAsia" w:ascii="宋体" w:hAnsi="宋体" w:cs="宋体"/>
                <w:sz w:val="20"/>
                <w:szCs w:val="20"/>
                <w:lang w:eastAsia="zh-CN"/>
              </w:rPr>
              <w:t>登记</w:t>
            </w:r>
            <w:r>
              <w:rPr>
                <w:rFonts w:hint="eastAsia" w:ascii="宋体" w:hAnsi="宋体" w:eastAsia="宋体" w:cs="宋体"/>
                <w:sz w:val="20"/>
                <w:szCs w:val="20"/>
              </w:rPr>
              <w:t>失业率（%）</w:t>
            </w:r>
          </w:p>
        </w:tc>
        <w:tc>
          <w:tcPr>
            <w:tcW w:w="960"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lang w:eastAsia="zh-CN"/>
              </w:rPr>
            </w:pPr>
            <w:r>
              <w:rPr>
                <w:rFonts w:hint="eastAsia" w:ascii="宋体" w:hAnsi="宋体" w:eastAsia="宋体" w:cs="宋体"/>
                <w:sz w:val="20"/>
                <w:szCs w:val="20"/>
                <w:lang w:val="en-US" w:eastAsia="zh-CN"/>
              </w:rPr>
              <w:t>3.5</w:t>
            </w:r>
          </w:p>
        </w:tc>
        <w:tc>
          <w:tcPr>
            <w:tcW w:w="1020"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rPr>
            </w:pPr>
            <w:r>
              <w:rPr>
                <w:rFonts w:hint="eastAsia" w:ascii="宋体" w:hAnsi="宋体" w:eastAsia="宋体" w:cs="宋体"/>
                <w:sz w:val="20"/>
                <w:szCs w:val="20"/>
              </w:rPr>
              <w:t>≤4.5</w:t>
            </w:r>
          </w:p>
        </w:tc>
        <w:tc>
          <w:tcPr>
            <w:tcW w:w="1134"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lang w:val="en-US" w:eastAsia="zh-CN"/>
              </w:rPr>
            </w:pPr>
            <w:r>
              <w:rPr>
                <w:rFonts w:hint="eastAsia" w:ascii="宋体" w:hAnsi="宋体" w:cs="宋体"/>
                <w:sz w:val="20"/>
                <w:szCs w:val="20"/>
                <w:lang w:val="en-US" w:eastAsia="zh-CN"/>
              </w:rPr>
              <w:t>-</w:t>
            </w:r>
          </w:p>
        </w:tc>
        <w:tc>
          <w:tcPr>
            <w:tcW w:w="1466" w:type="dxa"/>
            <w:vAlign w:val="center"/>
          </w:tcPr>
          <w:p>
            <w:pPr>
              <w:pageBreakBefore w:val="0"/>
              <w:kinsoku/>
              <w:wordWrap/>
              <w:overflowPunct w:val="0"/>
              <w:topLinePunct w:val="0"/>
              <w:bidi w:val="0"/>
              <w:ind w:right="0" w:rightChars="0"/>
              <w:jc w:val="center"/>
              <w:rPr>
                <w:rFonts w:hint="eastAsia" w:ascii="宋体" w:hAnsi="宋体" w:eastAsia="宋体" w:cs="宋体"/>
                <w:sz w:val="20"/>
                <w:szCs w:val="20"/>
              </w:rPr>
            </w:pPr>
            <w:r>
              <w:rPr>
                <w:rFonts w:hint="eastAsia" w:ascii="宋体" w:hAnsi="宋体" w:eastAsia="宋体" w:cs="宋体"/>
                <w:sz w:val="20"/>
                <w:szCs w:val="20"/>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 w:hRule="atLeast"/>
        </w:trPr>
        <w:tc>
          <w:tcPr>
            <w:tcW w:w="4195" w:type="dxa"/>
            <w:gridSpan w:val="3"/>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rPr>
            </w:pPr>
            <w:r>
              <w:rPr>
                <w:rFonts w:hint="eastAsia" w:ascii="宋体" w:hAnsi="宋体" w:eastAsia="宋体" w:cs="宋体"/>
                <w:sz w:val="20"/>
                <w:szCs w:val="20"/>
              </w:rPr>
              <w:t>城镇新增就业人数（万人）</w:t>
            </w:r>
          </w:p>
        </w:tc>
        <w:tc>
          <w:tcPr>
            <w:tcW w:w="960"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color w:val="C00000"/>
                <w:sz w:val="20"/>
                <w:szCs w:val="20"/>
                <w:lang w:val="en-US" w:eastAsia="zh-CN"/>
              </w:rPr>
            </w:pPr>
            <w:r>
              <w:rPr>
                <w:rFonts w:hint="eastAsia" w:ascii="宋体" w:hAnsi="宋体" w:cs="宋体"/>
                <w:color w:val="auto"/>
                <w:sz w:val="20"/>
                <w:szCs w:val="20"/>
                <w:lang w:val="en-US" w:eastAsia="zh-CN"/>
              </w:rPr>
              <w:t>0.6</w:t>
            </w:r>
          </w:p>
        </w:tc>
        <w:tc>
          <w:tcPr>
            <w:tcW w:w="1020"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lang w:val="en-US" w:eastAsia="zh-CN"/>
              </w:rPr>
            </w:pPr>
            <w:r>
              <w:rPr>
                <w:rFonts w:hint="eastAsia" w:ascii="宋体" w:hAnsi="宋体" w:cs="宋体"/>
                <w:sz w:val="20"/>
                <w:szCs w:val="20"/>
                <w:lang w:val="en-US" w:eastAsia="zh-CN"/>
              </w:rPr>
              <w:t>累计2.5</w:t>
            </w:r>
          </w:p>
        </w:tc>
        <w:tc>
          <w:tcPr>
            <w:tcW w:w="1134"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lang w:val="en-US" w:eastAsia="zh-CN"/>
              </w:rPr>
            </w:pPr>
            <w:r>
              <w:rPr>
                <w:rFonts w:hint="eastAsia" w:ascii="宋体" w:hAnsi="宋体" w:cs="宋体"/>
                <w:sz w:val="20"/>
                <w:szCs w:val="20"/>
                <w:lang w:val="en-US" w:eastAsia="zh-CN"/>
              </w:rPr>
              <w:t>-</w:t>
            </w:r>
          </w:p>
        </w:tc>
        <w:tc>
          <w:tcPr>
            <w:tcW w:w="1466" w:type="dxa"/>
            <w:vAlign w:val="center"/>
          </w:tcPr>
          <w:p>
            <w:pPr>
              <w:pageBreakBefore w:val="0"/>
              <w:kinsoku/>
              <w:wordWrap/>
              <w:overflowPunct w:val="0"/>
              <w:topLinePunct w:val="0"/>
              <w:bidi w:val="0"/>
              <w:ind w:right="0" w:rightChars="0"/>
              <w:jc w:val="center"/>
              <w:rPr>
                <w:rFonts w:hint="eastAsia" w:ascii="宋体" w:hAnsi="宋体" w:eastAsia="宋体" w:cs="宋体"/>
                <w:sz w:val="20"/>
                <w:szCs w:val="20"/>
              </w:rPr>
            </w:pPr>
            <w:r>
              <w:rPr>
                <w:rFonts w:hint="eastAsia" w:ascii="宋体" w:hAnsi="宋体" w:eastAsia="宋体" w:cs="宋体"/>
                <w:sz w:val="20"/>
                <w:szCs w:val="20"/>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4195" w:type="dxa"/>
            <w:gridSpan w:val="3"/>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rPr>
            </w:pPr>
            <w:r>
              <w:rPr>
                <w:rFonts w:hint="eastAsia" w:ascii="宋体" w:hAnsi="宋体" w:eastAsia="宋体" w:cs="宋体"/>
                <w:sz w:val="20"/>
                <w:szCs w:val="20"/>
              </w:rPr>
              <w:t>城镇常住人口保障性住房覆盖率（%）</w:t>
            </w:r>
          </w:p>
        </w:tc>
        <w:tc>
          <w:tcPr>
            <w:tcW w:w="960"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lang w:val="en-US" w:eastAsia="zh-CN"/>
              </w:rPr>
            </w:pPr>
            <w:r>
              <w:rPr>
                <w:rFonts w:hint="eastAsia" w:ascii="宋体" w:hAnsi="宋体" w:cs="宋体"/>
                <w:sz w:val="20"/>
                <w:szCs w:val="20"/>
                <w:lang w:val="en-US" w:eastAsia="zh-CN"/>
              </w:rPr>
              <w:t>23.5</w:t>
            </w:r>
          </w:p>
        </w:tc>
        <w:tc>
          <w:tcPr>
            <w:tcW w:w="1020" w:type="dxa"/>
            <w:vAlign w:val="center"/>
          </w:tcPr>
          <w:p>
            <w:pPr>
              <w:pageBreakBefore w:val="0"/>
              <w:kinsoku/>
              <w:wordWrap/>
              <w:overflowPunct w:val="0"/>
              <w:topLinePunct w:val="0"/>
              <w:bidi w:val="0"/>
              <w:spacing w:line="300" w:lineRule="exact"/>
              <w:ind w:right="0" w:rightChars="0" w:firstLine="18" w:firstLineChars="9"/>
              <w:jc w:val="center"/>
              <w:rPr>
                <w:rFonts w:hint="eastAsia" w:ascii="宋体" w:hAnsi="宋体" w:eastAsia="宋体" w:cs="宋体"/>
                <w:sz w:val="20"/>
                <w:szCs w:val="20"/>
                <w:lang w:eastAsia="zh-CN"/>
              </w:rPr>
            </w:pPr>
            <w:r>
              <w:rPr>
                <w:rFonts w:hint="eastAsia" w:ascii="宋体" w:hAnsi="宋体" w:cs="宋体"/>
                <w:sz w:val="20"/>
                <w:szCs w:val="20"/>
                <w:lang w:val="en-US" w:eastAsia="zh-CN"/>
              </w:rPr>
              <w:t>25</w:t>
            </w:r>
          </w:p>
        </w:tc>
        <w:tc>
          <w:tcPr>
            <w:tcW w:w="1134"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lang w:val="en-US" w:eastAsia="zh-CN"/>
              </w:rPr>
            </w:pPr>
            <w:r>
              <w:rPr>
                <w:rFonts w:hint="eastAsia" w:ascii="宋体" w:hAnsi="宋体" w:cs="宋体"/>
                <w:sz w:val="20"/>
                <w:szCs w:val="20"/>
                <w:lang w:val="en-US" w:eastAsia="zh-CN"/>
              </w:rPr>
              <w:t>-</w:t>
            </w:r>
          </w:p>
        </w:tc>
        <w:tc>
          <w:tcPr>
            <w:tcW w:w="1466" w:type="dxa"/>
            <w:vAlign w:val="center"/>
          </w:tcPr>
          <w:p>
            <w:pPr>
              <w:pageBreakBefore w:val="0"/>
              <w:kinsoku/>
              <w:wordWrap/>
              <w:overflowPunct w:val="0"/>
              <w:topLinePunct w:val="0"/>
              <w:bidi w:val="0"/>
              <w:ind w:right="0" w:rightChars="0"/>
              <w:jc w:val="center"/>
              <w:rPr>
                <w:rFonts w:hint="eastAsia" w:ascii="宋体" w:hAnsi="宋体" w:eastAsia="宋体" w:cs="宋体"/>
                <w:sz w:val="20"/>
                <w:szCs w:val="20"/>
              </w:rPr>
            </w:pPr>
            <w:r>
              <w:rPr>
                <w:rFonts w:hint="eastAsia" w:ascii="宋体" w:hAnsi="宋体" w:eastAsia="宋体" w:cs="宋体"/>
                <w:sz w:val="20"/>
                <w:szCs w:val="20"/>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trPr>
        <w:tc>
          <w:tcPr>
            <w:tcW w:w="4195" w:type="dxa"/>
            <w:gridSpan w:val="3"/>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rPr>
            </w:pPr>
            <w:r>
              <w:rPr>
                <w:rFonts w:hint="eastAsia" w:ascii="宋体" w:hAnsi="宋体" w:eastAsia="宋体" w:cs="宋体"/>
                <w:sz w:val="20"/>
                <w:szCs w:val="20"/>
              </w:rPr>
              <w:t>农村安全饮水普及率（%）</w:t>
            </w:r>
          </w:p>
        </w:tc>
        <w:tc>
          <w:tcPr>
            <w:tcW w:w="960"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lang w:val="en-US" w:eastAsia="zh-CN"/>
              </w:rPr>
            </w:pPr>
            <w:r>
              <w:rPr>
                <w:rFonts w:hint="eastAsia" w:ascii="宋体" w:hAnsi="宋体" w:cs="宋体"/>
                <w:sz w:val="20"/>
                <w:szCs w:val="20"/>
                <w:lang w:val="en-US" w:eastAsia="zh-CN"/>
              </w:rPr>
              <w:t>100</w:t>
            </w:r>
          </w:p>
        </w:tc>
        <w:tc>
          <w:tcPr>
            <w:tcW w:w="1020" w:type="dxa"/>
            <w:vAlign w:val="center"/>
          </w:tcPr>
          <w:p>
            <w:pPr>
              <w:pageBreakBefore w:val="0"/>
              <w:kinsoku/>
              <w:wordWrap/>
              <w:overflowPunct w:val="0"/>
              <w:topLinePunct w:val="0"/>
              <w:bidi w:val="0"/>
              <w:spacing w:line="300" w:lineRule="exact"/>
              <w:ind w:left="-5" w:leftChars="-11" w:right="0" w:rightChars="0" w:hanging="18" w:hangingChars="9"/>
              <w:jc w:val="center"/>
              <w:rPr>
                <w:rFonts w:hint="eastAsia" w:ascii="宋体" w:hAnsi="宋体" w:eastAsia="宋体" w:cs="宋体"/>
                <w:sz w:val="20"/>
                <w:szCs w:val="20"/>
              </w:rPr>
            </w:pPr>
            <w:r>
              <w:rPr>
                <w:rFonts w:hint="eastAsia" w:ascii="宋体" w:hAnsi="宋体" w:eastAsia="宋体" w:cs="宋体"/>
                <w:sz w:val="20"/>
                <w:szCs w:val="20"/>
              </w:rPr>
              <w:t>100</w:t>
            </w:r>
          </w:p>
        </w:tc>
        <w:tc>
          <w:tcPr>
            <w:tcW w:w="1134"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lang w:val="en-US" w:eastAsia="zh-CN"/>
              </w:rPr>
            </w:pPr>
            <w:r>
              <w:rPr>
                <w:rFonts w:hint="eastAsia" w:ascii="宋体" w:hAnsi="宋体" w:cs="宋体"/>
                <w:sz w:val="20"/>
                <w:szCs w:val="20"/>
                <w:lang w:val="en-US" w:eastAsia="zh-CN"/>
              </w:rPr>
              <w:t>-</w:t>
            </w:r>
          </w:p>
        </w:tc>
        <w:tc>
          <w:tcPr>
            <w:tcW w:w="1466" w:type="dxa"/>
            <w:vAlign w:val="center"/>
          </w:tcPr>
          <w:p>
            <w:pPr>
              <w:pageBreakBefore w:val="0"/>
              <w:kinsoku/>
              <w:wordWrap/>
              <w:overflowPunct w:val="0"/>
              <w:topLinePunct w:val="0"/>
              <w:bidi w:val="0"/>
              <w:ind w:right="0" w:rightChars="0"/>
              <w:jc w:val="center"/>
              <w:rPr>
                <w:rFonts w:hint="eastAsia" w:ascii="宋体" w:hAnsi="宋体" w:eastAsia="宋体" w:cs="宋体"/>
                <w:sz w:val="20"/>
                <w:szCs w:val="20"/>
              </w:rPr>
            </w:pPr>
            <w:r>
              <w:rPr>
                <w:rFonts w:hint="eastAsia" w:ascii="宋体" w:hAnsi="宋体" w:eastAsia="宋体" w:cs="宋体"/>
                <w:sz w:val="20"/>
                <w:szCs w:val="20"/>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9" w:hRule="atLeast"/>
        </w:trPr>
        <w:tc>
          <w:tcPr>
            <w:tcW w:w="4195" w:type="dxa"/>
            <w:gridSpan w:val="3"/>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b/>
                <w:sz w:val="20"/>
                <w:szCs w:val="20"/>
              </w:rPr>
            </w:pPr>
            <w:r>
              <w:rPr>
                <w:rFonts w:hint="eastAsia" w:ascii="宋体" w:hAnsi="宋体" w:eastAsia="宋体" w:cs="宋体"/>
                <w:sz w:val="20"/>
                <w:szCs w:val="20"/>
              </w:rPr>
              <w:t>年末总人口（万人）</w:t>
            </w:r>
          </w:p>
        </w:tc>
        <w:tc>
          <w:tcPr>
            <w:tcW w:w="960"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lang w:val="en-US" w:eastAsia="zh-CN"/>
              </w:rPr>
            </w:pPr>
            <w:r>
              <w:rPr>
                <w:rFonts w:hint="eastAsia" w:ascii="宋体" w:hAnsi="宋体" w:cs="宋体"/>
                <w:sz w:val="20"/>
                <w:szCs w:val="20"/>
                <w:lang w:val="en-US" w:eastAsia="zh-CN"/>
              </w:rPr>
              <w:t>30.4</w:t>
            </w:r>
          </w:p>
        </w:tc>
        <w:tc>
          <w:tcPr>
            <w:tcW w:w="1020"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lang w:val="en-US" w:eastAsia="zh-CN"/>
              </w:rPr>
            </w:pPr>
            <w:r>
              <w:rPr>
                <w:rFonts w:hint="eastAsia" w:ascii="宋体" w:hAnsi="宋体" w:cs="宋体"/>
                <w:sz w:val="20"/>
                <w:szCs w:val="20"/>
                <w:lang w:val="en-US" w:eastAsia="zh-CN"/>
              </w:rPr>
              <w:t>30.5</w:t>
            </w:r>
          </w:p>
        </w:tc>
        <w:tc>
          <w:tcPr>
            <w:tcW w:w="1134"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rPr>
            </w:pPr>
            <w:r>
              <w:rPr>
                <w:rFonts w:hint="eastAsia" w:ascii="宋体" w:hAnsi="宋体" w:eastAsia="宋体" w:cs="宋体"/>
                <w:sz w:val="20"/>
                <w:szCs w:val="20"/>
              </w:rPr>
              <w:t>1‰</w:t>
            </w:r>
          </w:p>
        </w:tc>
        <w:tc>
          <w:tcPr>
            <w:tcW w:w="1466" w:type="dxa"/>
            <w:vAlign w:val="center"/>
          </w:tcPr>
          <w:p>
            <w:pPr>
              <w:pageBreakBefore w:val="0"/>
              <w:kinsoku/>
              <w:wordWrap/>
              <w:overflowPunct w:val="0"/>
              <w:topLinePunct w:val="0"/>
              <w:bidi w:val="0"/>
              <w:ind w:right="0" w:rightChars="0"/>
              <w:jc w:val="center"/>
              <w:rPr>
                <w:rFonts w:hint="eastAsia" w:ascii="宋体" w:hAnsi="宋体" w:eastAsia="宋体" w:cs="宋体"/>
                <w:sz w:val="20"/>
                <w:szCs w:val="20"/>
              </w:rPr>
            </w:pPr>
            <w:r>
              <w:rPr>
                <w:rFonts w:hint="eastAsia" w:ascii="宋体" w:hAnsi="宋体" w:eastAsia="宋体" w:cs="宋体"/>
                <w:sz w:val="20"/>
                <w:szCs w:val="20"/>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1" w:hRule="atLeast"/>
        </w:trPr>
        <w:tc>
          <w:tcPr>
            <w:tcW w:w="8775" w:type="dxa"/>
            <w:gridSpan w:val="7"/>
            <w:vAlign w:val="top"/>
          </w:tcPr>
          <w:p>
            <w:pPr>
              <w:pageBreakBefore w:val="0"/>
              <w:kinsoku/>
              <w:wordWrap/>
              <w:overflowPunct w:val="0"/>
              <w:topLinePunct w:val="0"/>
              <w:bidi w:val="0"/>
              <w:spacing w:line="300" w:lineRule="exact"/>
              <w:ind w:right="0" w:rightChars="0"/>
              <w:jc w:val="both"/>
              <w:rPr>
                <w:rFonts w:hint="eastAsia" w:ascii="宋体" w:hAnsi="宋体" w:eastAsia="宋体" w:cs="宋体"/>
                <w:b/>
                <w:szCs w:val="21"/>
              </w:rPr>
            </w:pPr>
            <w:r>
              <w:rPr>
                <w:rFonts w:hint="eastAsia" w:ascii="宋体" w:hAnsi="宋体" w:eastAsia="宋体" w:cs="宋体"/>
                <w:b/>
                <w:szCs w:val="21"/>
              </w:rPr>
              <w:t>经济发展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6" w:hRule="atLeast"/>
        </w:trPr>
        <w:tc>
          <w:tcPr>
            <w:tcW w:w="4195" w:type="dxa"/>
            <w:gridSpan w:val="3"/>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rPr>
            </w:pPr>
            <w:r>
              <w:rPr>
                <w:rFonts w:hint="eastAsia" w:ascii="宋体" w:hAnsi="宋体" w:eastAsia="宋体" w:cs="宋体"/>
                <w:sz w:val="20"/>
                <w:szCs w:val="20"/>
              </w:rPr>
              <w:t>地区生产总值（亿元）</w:t>
            </w:r>
          </w:p>
        </w:tc>
        <w:tc>
          <w:tcPr>
            <w:tcW w:w="960"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lang w:val="en-US" w:eastAsia="zh-CN"/>
              </w:rPr>
            </w:pPr>
            <w:r>
              <w:rPr>
                <w:rFonts w:hint="eastAsia" w:ascii="宋体" w:hAnsi="宋体" w:cs="宋体"/>
                <w:sz w:val="20"/>
                <w:szCs w:val="20"/>
                <w:lang w:val="en-US" w:eastAsia="zh-CN"/>
              </w:rPr>
              <w:t>128</w:t>
            </w:r>
          </w:p>
        </w:tc>
        <w:tc>
          <w:tcPr>
            <w:tcW w:w="1020"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17</w:t>
            </w:r>
            <w:r>
              <w:rPr>
                <w:rFonts w:hint="eastAsia" w:ascii="宋体" w:hAnsi="宋体" w:cs="宋体"/>
                <w:sz w:val="20"/>
                <w:szCs w:val="20"/>
                <w:lang w:val="en-US" w:eastAsia="zh-CN"/>
              </w:rPr>
              <w:t>5.4</w:t>
            </w:r>
          </w:p>
        </w:tc>
        <w:tc>
          <w:tcPr>
            <w:tcW w:w="1134"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rPr>
            </w:pPr>
            <w:r>
              <w:rPr>
                <w:rFonts w:hint="eastAsia" w:ascii="宋体" w:hAnsi="宋体" w:eastAsia="宋体" w:cs="宋体"/>
                <w:sz w:val="20"/>
                <w:szCs w:val="20"/>
              </w:rPr>
              <w:t>6.5</w:t>
            </w:r>
          </w:p>
        </w:tc>
        <w:tc>
          <w:tcPr>
            <w:tcW w:w="1466"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rPr>
            </w:pPr>
            <w:r>
              <w:rPr>
                <w:rFonts w:hint="eastAsia" w:ascii="宋体" w:hAnsi="宋体" w:eastAsia="宋体" w:cs="宋体"/>
                <w:sz w:val="20"/>
                <w:szCs w:val="20"/>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5" w:hRule="atLeast"/>
        </w:trPr>
        <w:tc>
          <w:tcPr>
            <w:tcW w:w="4195" w:type="dxa"/>
            <w:gridSpan w:val="3"/>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rPr>
            </w:pPr>
            <w:r>
              <w:rPr>
                <w:rFonts w:hint="eastAsia" w:ascii="宋体" w:hAnsi="宋体" w:eastAsia="宋体" w:cs="宋体"/>
                <w:sz w:val="20"/>
                <w:szCs w:val="20"/>
              </w:rPr>
              <w:t>服务业增加值比重（%）</w:t>
            </w:r>
          </w:p>
        </w:tc>
        <w:tc>
          <w:tcPr>
            <w:tcW w:w="960"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rPr>
            </w:pPr>
            <w:r>
              <w:rPr>
                <w:rFonts w:hint="eastAsia" w:ascii="宋体" w:hAnsi="宋体" w:cs="宋体"/>
                <w:sz w:val="20"/>
                <w:szCs w:val="20"/>
                <w:lang w:val="en-US" w:eastAsia="zh-CN"/>
              </w:rPr>
              <w:t>41.2</w:t>
            </w:r>
          </w:p>
        </w:tc>
        <w:tc>
          <w:tcPr>
            <w:tcW w:w="1020"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rPr>
            </w:pPr>
            <w:r>
              <w:rPr>
                <w:rFonts w:hint="eastAsia" w:ascii="宋体" w:hAnsi="宋体" w:eastAsia="宋体" w:cs="宋体"/>
                <w:sz w:val="20"/>
                <w:szCs w:val="20"/>
              </w:rPr>
              <w:t>44</w:t>
            </w:r>
          </w:p>
        </w:tc>
        <w:tc>
          <w:tcPr>
            <w:tcW w:w="1134"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lang w:val="en-US" w:eastAsia="zh-CN"/>
              </w:rPr>
            </w:pPr>
            <w:r>
              <w:rPr>
                <w:rFonts w:hint="eastAsia" w:ascii="宋体" w:hAnsi="宋体" w:cs="宋体"/>
                <w:sz w:val="20"/>
                <w:szCs w:val="20"/>
                <w:lang w:val="en-US" w:eastAsia="zh-CN"/>
              </w:rPr>
              <w:t>-</w:t>
            </w:r>
          </w:p>
        </w:tc>
        <w:tc>
          <w:tcPr>
            <w:tcW w:w="1466"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rPr>
            </w:pPr>
            <w:r>
              <w:rPr>
                <w:rFonts w:hint="eastAsia" w:ascii="宋体" w:hAnsi="宋体" w:eastAsia="宋体" w:cs="宋体"/>
                <w:sz w:val="20"/>
                <w:szCs w:val="20"/>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6" w:hRule="atLeast"/>
        </w:trPr>
        <w:tc>
          <w:tcPr>
            <w:tcW w:w="8775" w:type="dxa"/>
            <w:gridSpan w:val="7"/>
            <w:vAlign w:val="top"/>
          </w:tcPr>
          <w:p>
            <w:pPr>
              <w:pageBreakBefore w:val="0"/>
              <w:kinsoku/>
              <w:wordWrap/>
              <w:overflowPunct w:val="0"/>
              <w:topLinePunct w:val="0"/>
              <w:bidi w:val="0"/>
              <w:spacing w:line="300" w:lineRule="exact"/>
              <w:ind w:right="0" w:rightChars="0"/>
              <w:jc w:val="both"/>
              <w:rPr>
                <w:rFonts w:hint="eastAsia" w:ascii="宋体" w:hAnsi="宋体" w:eastAsia="宋体" w:cs="宋体"/>
                <w:sz w:val="18"/>
                <w:szCs w:val="18"/>
              </w:rPr>
            </w:pPr>
            <w:r>
              <w:rPr>
                <w:rFonts w:hint="eastAsia" w:ascii="宋体" w:hAnsi="宋体" w:eastAsia="宋体" w:cs="宋体"/>
                <w:b/>
                <w:szCs w:val="21"/>
              </w:rPr>
              <w:t>创新驱动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0" w:hRule="atLeast"/>
        </w:trPr>
        <w:tc>
          <w:tcPr>
            <w:tcW w:w="4195" w:type="dxa"/>
            <w:gridSpan w:val="3"/>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rPr>
            </w:pPr>
            <w:r>
              <w:rPr>
                <w:rFonts w:hint="eastAsia" w:ascii="宋体" w:hAnsi="宋体" w:eastAsia="宋体" w:cs="宋体"/>
                <w:sz w:val="20"/>
                <w:szCs w:val="20"/>
              </w:rPr>
              <w:t>科技进步贡献率（%）</w:t>
            </w:r>
          </w:p>
        </w:tc>
        <w:tc>
          <w:tcPr>
            <w:tcW w:w="960"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60</w:t>
            </w:r>
          </w:p>
        </w:tc>
        <w:tc>
          <w:tcPr>
            <w:tcW w:w="1020"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rPr>
            </w:pPr>
            <w:r>
              <w:rPr>
                <w:rFonts w:hint="eastAsia" w:ascii="宋体" w:hAnsi="宋体" w:eastAsia="宋体" w:cs="宋体"/>
                <w:sz w:val="20"/>
                <w:szCs w:val="20"/>
              </w:rPr>
              <w:t>75</w:t>
            </w:r>
          </w:p>
        </w:tc>
        <w:tc>
          <w:tcPr>
            <w:tcW w:w="1134"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lang w:val="en-US" w:eastAsia="zh-CN"/>
              </w:rPr>
            </w:pPr>
            <w:r>
              <w:rPr>
                <w:rFonts w:hint="eastAsia" w:ascii="宋体" w:hAnsi="宋体" w:cs="宋体"/>
                <w:sz w:val="20"/>
                <w:szCs w:val="20"/>
                <w:lang w:val="en-US" w:eastAsia="zh-CN"/>
              </w:rPr>
              <w:t>-</w:t>
            </w:r>
          </w:p>
        </w:tc>
        <w:tc>
          <w:tcPr>
            <w:tcW w:w="1466"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rPr>
            </w:pPr>
            <w:r>
              <w:rPr>
                <w:rFonts w:hint="eastAsia" w:ascii="宋体" w:hAnsi="宋体" w:eastAsia="宋体" w:cs="宋体"/>
                <w:sz w:val="20"/>
                <w:szCs w:val="20"/>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4195" w:type="dxa"/>
            <w:gridSpan w:val="3"/>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rPr>
            </w:pPr>
            <w:r>
              <w:rPr>
                <w:rFonts w:hint="eastAsia" w:ascii="宋体" w:hAnsi="宋体" w:eastAsia="宋体" w:cs="宋体"/>
                <w:sz w:val="20"/>
                <w:szCs w:val="20"/>
              </w:rPr>
              <w:t>科技研发经费投入占地区生产总值比重（%）</w:t>
            </w:r>
          </w:p>
        </w:tc>
        <w:tc>
          <w:tcPr>
            <w:tcW w:w="960"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w:t>
            </w:r>
          </w:p>
        </w:tc>
        <w:tc>
          <w:tcPr>
            <w:tcW w:w="1020"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rPr>
            </w:pPr>
            <w:r>
              <w:rPr>
                <w:rFonts w:hint="eastAsia" w:ascii="宋体" w:hAnsi="宋体" w:eastAsia="宋体" w:cs="宋体"/>
                <w:sz w:val="20"/>
                <w:szCs w:val="20"/>
              </w:rPr>
              <w:t>2.5</w:t>
            </w:r>
          </w:p>
        </w:tc>
        <w:tc>
          <w:tcPr>
            <w:tcW w:w="1134"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lang w:val="en-US" w:eastAsia="zh-CN"/>
              </w:rPr>
            </w:pPr>
            <w:r>
              <w:rPr>
                <w:rFonts w:hint="eastAsia" w:ascii="宋体" w:hAnsi="宋体" w:cs="宋体"/>
                <w:sz w:val="20"/>
                <w:szCs w:val="20"/>
                <w:lang w:val="en-US" w:eastAsia="zh-CN"/>
              </w:rPr>
              <w:t>-</w:t>
            </w:r>
          </w:p>
        </w:tc>
        <w:tc>
          <w:tcPr>
            <w:tcW w:w="1466"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rPr>
            </w:pPr>
            <w:r>
              <w:rPr>
                <w:rFonts w:hint="eastAsia" w:ascii="宋体" w:hAnsi="宋体" w:eastAsia="宋体" w:cs="宋体"/>
                <w:sz w:val="20"/>
                <w:szCs w:val="20"/>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4" w:hRule="atLeast"/>
        </w:trPr>
        <w:tc>
          <w:tcPr>
            <w:tcW w:w="8775" w:type="dxa"/>
            <w:gridSpan w:val="7"/>
            <w:vAlign w:val="top"/>
          </w:tcPr>
          <w:p>
            <w:pPr>
              <w:pageBreakBefore w:val="0"/>
              <w:kinsoku/>
              <w:wordWrap/>
              <w:overflowPunct w:val="0"/>
              <w:topLinePunct w:val="0"/>
              <w:bidi w:val="0"/>
              <w:spacing w:line="300" w:lineRule="exact"/>
              <w:ind w:right="0" w:rightChars="0"/>
              <w:jc w:val="both"/>
              <w:rPr>
                <w:rFonts w:hint="eastAsia" w:ascii="宋体" w:hAnsi="宋体" w:eastAsia="宋体" w:cs="宋体"/>
                <w:sz w:val="18"/>
                <w:szCs w:val="18"/>
              </w:rPr>
            </w:pPr>
            <w:r>
              <w:rPr>
                <w:rFonts w:hint="eastAsia" w:ascii="宋体" w:hAnsi="宋体" w:eastAsia="宋体" w:cs="宋体"/>
                <w:b/>
                <w:szCs w:val="21"/>
              </w:rPr>
              <w:t>生态文明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2" w:hRule="atLeast"/>
        </w:trPr>
        <w:tc>
          <w:tcPr>
            <w:tcW w:w="4195" w:type="dxa"/>
            <w:gridSpan w:val="3"/>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rPr>
            </w:pPr>
            <w:r>
              <w:rPr>
                <w:rFonts w:hint="eastAsia" w:ascii="宋体" w:hAnsi="宋体" w:eastAsia="宋体" w:cs="宋体"/>
                <w:sz w:val="20"/>
                <w:szCs w:val="20"/>
              </w:rPr>
              <w:t>耕地保有量（万亩）</w:t>
            </w:r>
          </w:p>
        </w:tc>
        <w:tc>
          <w:tcPr>
            <w:tcW w:w="960"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2.4</w:t>
            </w:r>
          </w:p>
        </w:tc>
        <w:tc>
          <w:tcPr>
            <w:tcW w:w="1020"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rPr>
            </w:pPr>
            <w:r>
              <w:rPr>
                <w:rFonts w:hint="eastAsia" w:ascii="宋体" w:hAnsi="宋体" w:eastAsia="宋体" w:cs="宋体"/>
                <w:sz w:val="20"/>
                <w:szCs w:val="20"/>
              </w:rPr>
              <w:t>2.5</w:t>
            </w:r>
          </w:p>
        </w:tc>
        <w:tc>
          <w:tcPr>
            <w:tcW w:w="1134"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lang w:val="en-US" w:eastAsia="zh-CN"/>
              </w:rPr>
            </w:pPr>
            <w:r>
              <w:rPr>
                <w:rFonts w:hint="eastAsia" w:ascii="宋体" w:hAnsi="宋体" w:cs="宋体"/>
                <w:sz w:val="20"/>
                <w:szCs w:val="20"/>
                <w:lang w:val="en-US" w:eastAsia="zh-CN"/>
              </w:rPr>
              <w:t>0.8</w:t>
            </w:r>
          </w:p>
        </w:tc>
        <w:tc>
          <w:tcPr>
            <w:tcW w:w="1466" w:type="dxa"/>
            <w:vAlign w:val="center"/>
          </w:tcPr>
          <w:p>
            <w:pPr>
              <w:pageBreakBefore w:val="0"/>
              <w:kinsoku/>
              <w:wordWrap/>
              <w:overflowPunct w:val="0"/>
              <w:topLinePunct w:val="0"/>
              <w:bidi w:val="0"/>
              <w:ind w:right="0" w:rightChars="0"/>
              <w:jc w:val="center"/>
              <w:rPr>
                <w:rFonts w:hint="eastAsia" w:ascii="宋体" w:hAnsi="宋体" w:eastAsia="宋体" w:cs="宋体"/>
                <w:sz w:val="20"/>
                <w:szCs w:val="20"/>
              </w:rPr>
            </w:pPr>
            <w:r>
              <w:rPr>
                <w:rFonts w:hint="eastAsia" w:ascii="宋体" w:hAnsi="宋体" w:eastAsia="宋体" w:cs="宋体"/>
                <w:sz w:val="20"/>
                <w:szCs w:val="20"/>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5" w:hRule="atLeast"/>
        </w:trPr>
        <w:tc>
          <w:tcPr>
            <w:tcW w:w="4195" w:type="dxa"/>
            <w:gridSpan w:val="3"/>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rPr>
            </w:pPr>
            <w:r>
              <w:rPr>
                <w:rFonts w:hint="eastAsia" w:ascii="宋体" w:hAnsi="宋体" w:eastAsia="宋体" w:cs="宋体"/>
                <w:sz w:val="20"/>
                <w:szCs w:val="20"/>
              </w:rPr>
              <w:t>单位地区生产总值能源消耗降低（%）</w:t>
            </w:r>
          </w:p>
        </w:tc>
        <w:tc>
          <w:tcPr>
            <w:tcW w:w="960"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lang w:val="en-US" w:eastAsia="zh-CN"/>
              </w:rPr>
            </w:pPr>
            <w:r>
              <w:rPr>
                <w:rFonts w:hint="eastAsia" w:ascii="宋体" w:hAnsi="宋体" w:cs="宋体"/>
                <w:sz w:val="20"/>
                <w:szCs w:val="20"/>
                <w:lang w:val="en-US" w:eastAsia="zh-CN"/>
              </w:rPr>
              <w:t>20</w:t>
            </w:r>
          </w:p>
        </w:tc>
        <w:tc>
          <w:tcPr>
            <w:tcW w:w="1020"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lang w:eastAsia="zh-CN"/>
              </w:rPr>
            </w:pPr>
            <w:r>
              <w:rPr>
                <w:rFonts w:hint="eastAsia" w:ascii="宋体" w:hAnsi="宋体" w:cs="宋体"/>
                <w:sz w:val="20"/>
                <w:szCs w:val="20"/>
                <w:lang w:val="en-US" w:eastAsia="zh-CN"/>
              </w:rPr>
              <w:t>20</w:t>
            </w:r>
          </w:p>
        </w:tc>
        <w:tc>
          <w:tcPr>
            <w:tcW w:w="1134"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lang w:val="en-US" w:eastAsia="zh-CN"/>
              </w:rPr>
            </w:pPr>
            <w:r>
              <w:rPr>
                <w:rFonts w:hint="eastAsia" w:ascii="宋体" w:hAnsi="宋体" w:cs="宋体"/>
                <w:sz w:val="20"/>
                <w:szCs w:val="20"/>
                <w:lang w:val="en-US" w:eastAsia="zh-CN"/>
              </w:rPr>
              <w:t>-</w:t>
            </w:r>
          </w:p>
        </w:tc>
        <w:tc>
          <w:tcPr>
            <w:tcW w:w="1466" w:type="dxa"/>
            <w:vAlign w:val="center"/>
          </w:tcPr>
          <w:p>
            <w:pPr>
              <w:pageBreakBefore w:val="0"/>
              <w:kinsoku/>
              <w:wordWrap/>
              <w:overflowPunct w:val="0"/>
              <w:topLinePunct w:val="0"/>
              <w:bidi w:val="0"/>
              <w:ind w:right="0" w:rightChars="0"/>
              <w:jc w:val="center"/>
              <w:rPr>
                <w:rFonts w:hint="eastAsia" w:ascii="宋体" w:hAnsi="宋体" w:eastAsia="宋体" w:cs="宋体"/>
                <w:sz w:val="20"/>
                <w:szCs w:val="20"/>
              </w:rPr>
            </w:pPr>
            <w:r>
              <w:rPr>
                <w:rFonts w:hint="eastAsia" w:ascii="宋体" w:hAnsi="宋体" w:eastAsia="宋体" w:cs="宋体"/>
                <w:sz w:val="20"/>
                <w:szCs w:val="20"/>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2" w:hRule="atLeast"/>
        </w:trPr>
        <w:tc>
          <w:tcPr>
            <w:tcW w:w="823" w:type="dxa"/>
            <w:vMerge w:val="restart"/>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rPr>
            </w:pPr>
            <w:r>
              <w:rPr>
                <w:rFonts w:hint="eastAsia" w:ascii="宋体" w:hAnsi="宋体" w:eastAsia="宋体" w:cs="宋体"/>
                <w:sz w:val="20"/>
                <w:szCs w:val="20"/>
              </w:rPr>
              <w:t>森林</w:t>
            </w:r>
          </w:p>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rPr>
            </w:pPr>
            <w:r>
              <w:rPr>
                <w:rFonts w:hint="eastAsia" w:ascii="宋体" w:hAnsi="宋体" w:eastAsia="宋体" w:cs="宋体"/>
                <w:sz w:val="20"/>
                <w:szCs w:val="20"/>
              </w:rPr>
              <w:t>发展</w:t>
            </w:r>
          </w:p>
        </w:tc>
        <w:tc>
          <w:tcPr>
            <w:tcW w:w="3372" w:type="dxa"/>
            <w:gridSpan w:val="2"/>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rPr>
            </w:pPr>
            <w:r>
              <w:rPr>
                <w:rFonts w:hint="eastAsia" w:ascii="宋体" w:hAnsi="宋体" w:eastAsia="宋体" w:cs="宋体"/>
                <w:sz w:val="20"/>
                <w:szCs w:val="20"/>
              </w:rPr>
              <w:t>森林覆盖率（%）</w:t>
            </w:r>
          </w:p>
        </w:tc>
        <w:tc>
          <w:tcPr>
            <w:tcW w:w="960"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11.9</w:t>
            </w:r>
          </w:p>
        </w:tc>
        <w:tc>
          <w:tcPr>
            <w:tcW w:w="1020"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rPr>
            </w:pPr>
            <w:r>
              <w:rPr>
                <w:rFonts w:hint="eastAsia" w:ascii="宋体" w:hAnsi="宋体" w:eastAsia="宋体" w:cs="宋体"/>
                <w:sz w:val="20"/>
                <w:szCs w:val="20"/>
              </w:rPr>
              <w:t>26</w:t>
            </w:r>
          </w:p>
        </w:tc>
        <w:tc>
          <w:tcPr>
            <w:tcW w:w="1134" w:type="dxa"/>
            <w:vAlign w:val="center"/>
          </w:tcPr>
          <w:p>
            <w:pPr>
              <w:pageBreakBefore w:val="0"/>
              <w:kinsoku/>
              <w:wordWrap/>
              <w:overflowPunct w:val="0"/>
              <w:topLinePunct w:val="0"/>
              <w:bidi w:val="0"/>
              <w:ind w:right="0" w:rightChars="0"/>
              <w:jc w:val="center"/>
              <w:rPr>
                <w:rFonts w:hint="eastAsia" w:ascii="宋体" w:hAnsi="宋体" w:eastAsia="宋体" w:cs="宋体"/>
                <w:sz w:val="20"/>
                <w:szCs w:val="20"/>
                <w:lang w:val="en-US" w:eastAsia="zh-CN"/>
              </w:rPr>
            </w:pPr>
            <w:r>
              <w:rPr>
                <w:rFonts w:hint="eastAsia" w:ascii="宋体" w:hAnsi="宋体" w:cs="宋体"/>
                <w:sz w:val="20"/>
                <w:szCs w:val="20"/>
                <w:lang w:val="en-US" w:eastAsia="zh-CN"/>
              </w:rPr>
              <w:t>-</w:t>
            </w:r>
          </w:p>
        </w:tc>
        <w:tc>
          <w:tcPr>
            <w:tcW w:w="1466"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rPr>
            </w:pPr>
            <w:r>
              <w:rPr>
                <w:rFonts w:hint="eastAsia" w:ascii="宋体" w:hAnsi="宋体" w:eastAsia="宋体" w:cs="宋体"/>
                <w:sz w:val="20"/>
                <w:szCs w:val="20"/>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4" w:hRule="atLeast"/>
        </w:trPr>
        <w:tc>
          <w:tcPr>
            <w:tcW w:w="823" w:type="dxa"/>
            <w:vMerge w:val="continue"/>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rPr>
            </w:pPr>
          </w:p>
        </w:tc>
        <w:tc>
          <w:tcPr>
            <w:tcW w:w="3372" w:type="dxa"/>
            <w:gridSpan w:val="2"/>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rPr>
            </w:pPr>
            <w:r>
              <w:rPr>
                <w:rFonts w:hint="eastAsia" w:ascii="宋体" w:hAnsi="宋体" w:eastAsia="宋体" w:cs="宋体"/>
                <w:sz w:val="20"/>
                <w:szCs w:val="20"/>
              </w:rPr>
              <w:t>森林蓄积量（立方米）</w:t>
            </w:r>
          </w:p>
        </w:tc>
        <w:tc>
          <w:tcPr>
            <w:tcW w:w="960"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60111</w:t>
            </w:r>
          </w:p>
        </w:tc>
        <w:tc>
          <w:tcPr>
            <w:tcW w:w="1020"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lang w:val="en-US" w:eastAsia="zh-CN"/>
              </w:rPr>
            </w:pPr>
            <w:r>
              <w:rPr>
                <w:rFonts w:hint="eastAsia" w:ascii="宋体" w:hAnsi="宋体" w:cs="宋体"/>
                <w:sz w:val="20"/>
                <w:szCs w:val="20"/>
                <w:lang w:val="en-US" w:eastAsia="zh-CN"/>
              </w:rPr>
              <w:t>64000</w:t>
            </w:r>
          </w:p>
        </w:tc>
        <w:tc>
          <w:tcPr>
            <w:tcW w:w="1134"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lang w:val="en-US" w:eastAsia="zh-CN"/>
              </w:rPr>
            </w:pPr>
            <w:r>
              <w:rPr>
                <w:rFonts w:hint="eastAsia" w:ascii="宋体" w:hAnsi="宋体" w:cs="宋体"/>
                <w:sz w:val="20"/>
                <w:szCs w:val="20"/>
                <w:lang w:val="en-US" w:eastAsia="zh-CN"/>
              </w:rPr>
              <w:t>1.3</w:t>
            </w:r>
          </w:p>
        </w:tc>
        <w:tc>
          <w:tcPr>
            <w:tcW w:w="1466"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rPr>
            </w:pPr>
            <w:r>
              <w:rPr>
                <w:rFonts w:hint="eastAsia" w:ascii="宋体" w:hAnsi="宋体" w:eastAsia="宋体" w:cs="宋体"/>
                <w:sz w:val="20"/>
                <w:szCs w:val="20"/>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3" w:hRule="atLeast"/>
        </w:trPr>
        <w:tc>
          <w:tcPr>
            <w:tcW w:w="823" w:type="dxa"/>
            <w:vMerge w:val="restart"/>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rPr>
            </w:pPr>
            <w:r>
              <w:rPr>
                <w:rFonts w:hint="eastAsia" w:ascii="宋体" w:hAnsi="宋体" w:eastAsia="宋体" w:cs="宋体"/>
                <w:sz w:val="20"/>
                <w:szCs w:val="20"/>
              </w:rPr>
              <w:t>空气</w:t>
            </w:r>
          </w:p>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rPr>
            </w:pPr>
            <w:r>
              <w:rPr>
                <w:rFonts w:hint="eastAsia" w:ascii="宋体" w:hAnsi="宋体" w:eastAsia="宋体" w:cs="宋体"/>
                <w:sz w:val="20"/>
                <w:szCs w:val="20"/>
              </w:rPr>
              <w:t>质量</w:t>
            </w:r>
          </w:p>
        </w:tc>
        <w:tc>
          <w:tcPr>
            <w:tcW w:w="3372" w:type="dxa"/>
            <w:gridSpan w:val="2"/>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rPr>
            </w:pPr>
            <w:r>
              <w:rPr>
                <w:rFonts w:hint="eastAsia" w:ascii="宋体" w:hAnsi="宋体" w:eastAsia="宋体" w:cs="宋体"/>
                <w:sz w:val="20"/>
                <w:szCs w:val="20"/>
              </w:rPr>
              <w:t>城市空气质量达标率（%）</w:t>
            </w:r>
          </w:p>
        </w:tc>
        <w:tc>
          <w:tcPr>
            <w:tcW w:w="960"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65</w:t>
            </w:r>
          </w:p>
        </w:tc>
        <w:tc>
          <w:tcPr>
            <w:tcW w:w="1020"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rPr>
            </w:pPr>
            <w:r>
              <w:rPr>
                <w:rFonts w:hint="eastAsia" w:ascii="宋体" w:hAnsi="宋体" w:eastAsia="宋体" w:cs="宋体"/>
                <w:sz w:val="20"/>
                <w:szCs w:val="20"/>
              </w:rPr>
              <w:t>70</w:t>
            </w:r>
          </w:p>
        </w:tc>
        <w:tc>
          <w:tcPr>
            <w:tcW w:w="1134"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lang w:val="en-US" w:eastAsia="zh-CN"/>
              </w:rPr>
            </w:pPr>
            <w:r>
              <w:rPr>
                <w:rFonts w:hint="eastAsia" w:ascii="宋体" w:hAnsi="宋体" w:cs="宋体"/>
                <w:sz w:val="20"/>
                <w:szCs w:val="20"/>
                <w:lang w:val="en-US" w:eastAsia="zh-CN"/>
              </w:rPr>
              <w:t>-</w:t>
            </w:r>
          </w:p>
        </w:tc>
        <w:tc>
          <w:tcPr>
            <w:tcW w:w="1466" w:type="dxa"/>
            <w:vAlign w:val="center"/>
          </w:tcPr>
          <w:p>
            <w:pPr>
              <w:pageBreakBefore w:val="0"/>
              <w:kinsoku/>
              <w:wordWrap/>
              <w:overflowPunct w:val="0"/>
              <w:topLinePunct w:val="0"/>
              <w:bidi w:val="0"/>
              <w:ind w:right="0" w:rightChars="0"/>
              <w:jc w:val="center"/>
              <w:rPr>
                <w:rFonts w:hint="eastAsia" w:ascii="宋体" w:hAnsi="宋体" w:eastAsia="宋体" w:cs="宋体"/>
                <w:sz w:val="20"/>
                <w:szCs w:val="20"/>
              </w:rPr>
            </w:pPr>
            <w:r>
              <w:rPr>
                <w:rFonts w:hint="eastAsia" w:ascii="宋体" w:hAnsi="宋体" w:eastAsia="宋体" w:cs="宋体"/>
                <w:sz w:val="20"/>
                <w:szCs w:val="20"/>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1" w:hRule="atLeast"/>
        </w:trPr>
        <w:tc>
          <w:tcPr>
            <w:tcW w:w="823" w:type="dxa"/>
            <w:vMerge w:val="continue"/>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rPr>
            </w:pPr>
          </w:p>
        </w:tc>
        <w:tc>
          <w:tcPr>
            <w:tcW w:w="3372" w:type="dxa"/>
            <w:gridSpan w:val="2"/>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rPr>
            </w:pPr>
            <w:r>
              <w:rPr>
                <w:rFonts w:hint="eastAsia" w:ascii="宋体" w:hAnsi="宋体" w:eastAsia="宋体" w:cs="宋体"/>
                <w:sz w:val="20"/>
                <w:szCs w:val="20"/>
              </w:rPr>
              <w:t>城市细颗粒物（PM2.5）浓度（ug/m3）</w:t>
            </w:r>
          </w:p>
        </w:tc>
        <w:tc>
          <w:tcPr>
            <w:tcW w:w="960"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56</w:t>
            </w:r>
          </w:p>
        </w:tc>
        <w:tc>
          <w:tcPr>
            <w:tcW w:w="1020"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rPr>
            </w:pPr>
            <w:r>
              <w:rPr>
                <w:rFonts w:hint="eastAsia" w:ascii="宋体" w:hAnsi="宋体" w:eastAsia="宋体" w:cs="宋体"/>
                <w:sz w:val="20"/>
                <w:szCs w:val="20"/>
              </w:rPr>
              <w:t>≤</w:t>
            </w:r>
            <w:r>
              <w:rPr>
                <w:rFonts w:hint="eastAsia" w:ascii="宋体" w:hAnsi="宋体" w:cs="宋体"/>
                <w:sz w:val="20"/>
                <w:szCs w:val="20"/>
                <w:lang w:val="en-US" w:eastAsia="zh-CN"/>
              </w:rPr>
              <w:t>56</w:t>
            </w:r>
          </w:p>
        </w:tc>
        <w:tc>
          <w:tcPr>
            <w:tcW w:w="1134" w:type="dxa"/>
            <w:vAlign w:val="center"/>
          </w:tcPr>
          <w:p>
            <w:pPr>
              <w:pageBreakBefore w:val="0"/>
              <w:kinsoku/>
              <w:wordWrap/>
              <w:overflowPunct w:val="0"/>
              <w:topLinePunct w:val="0"/>
              <w:bidi w:val="0"/>
              <w:spacing w:line="300" w:lineRule="exact"/>
              <w:ind w:right="0" w:rightChars="0"/>
              <w:jc w:val="center"/>
              <w:rPr>
                <w:rFonts w:hint="eastAsia" w:ascii="宋体" w:hAnsi="宋体" w:eastAsia="宋体" w:cs="宋体"/>
                <w:sz w:val="20"/>
                <w:szCs w:val="20"/>
                <w:lang w:val="en-US" w:eastAsia="zh-CN"/>
              </w:rPr>
            </w:pPr>
            <w:r>
              <w:rPr>
                <w:rFonts w:hint="eastAsia" w:ascii="宋体" w:hAnsi="宋体" w:cs="宋体"/>
                <w:sz w:val="20"/>
                <w:szCs w:val="20"/>
                <w:lang w:val="en-US" w:eastAsia="zh-CN"/>
              </w:rPr>
              <w:t>-</w:t>
            </w:r>
          </w:p>
        </w:tc>
        <w:tc>
          <w:tcPr>
            <w:tcW w:w="1466" w:type="dxa"/>
            <w:vAlign w:val="center"/>
          </w:tcPr>
          <w:p>
            <w:pPr>
              <w:pageBreakBefore w:val="0"/>
              <w:kinsoku/>
              <w:wordWrap/>
              <w:overflowPunct w:val="0"/>
              <w:topLinePunct w:val="0"/>
              <w:bidi w:val="0"/>
              <w:ind w:right="0" w:rightChars="0"/>
              <w:jc w:val="center"/>
              <w:rPr>
                <w:rFonts w:hint="eastAsia" w:ascii="宋体" w:hAnsi="宋体" w:eastAsia="宋体" w:cs="宋体"/>
                <w:sz w:val="20"/>
                <w:szCs w:val="20"/>
              </w:rPr>
            </w:pPr>
            <w:r>
              <w:rPr>
                <w:rFonts w:hint="eastAsia" w:ascii="宋体" w:hAnsi="宋体" w:eastAsia="宋体" w:cs="宋体"/>
                <w:sz w:val="20"/>
                <w:szCs w:val="20"/>
              </w:rPr>
              <w:t>约束性</w:t>
            </w:r>
          </w:p>
        </w:tc>
      </w:tr>
    </w:tbl>
    <w:p>
      <w:pPr>
        <w:pageBreakBefore w:val="0"/>
        <w:kinsoku/>
        <w:wordWrap/>
        <w:overflowPunct w:val="0"/>
        <w:topLinePunct w:val="0"/>
        <w:bidi w:val="0"/>
        <w:ind w:right="0" w:rightChars="0"/>
        <w:rPr>
          <w:rFonts w:hint="eastAsia" w:ascii="仿宋_GB2312" w:eastAsia="仿宋_GB2312"/>
          <w:sz w:val="24"/>
          <w:szCs w:val="24"/>
        </w:rPr>
      </w:pPr>
    </w:p>
    <w:p>
      <w:pPr>
        <w:pStyle w:val="2"/>
        <w:keepNext/>
        <w:keepLines/>
        <w:pageBreakBefore w:val="0"/>
        <w:widowControl w:val="0"/>
        <w:kinsoku/>
        <w:wordWrap/>
        <w:overflowPunct/>
        <w:topLinePunct w:val="0"/>
        <w:autoSpaceDE/>
        <w:autoSpaceDN/>
        <w:bidi w:val="0"/>
        <w:adjustRightInd/>
        <w:snapToGrid/>
        <w:spacing w:before="340" w:beforeLines="0" w:after="330" w:afterLines="0" w:line="240" w:lineRule="exact"/>
        <w:ind w:left="0" w:leftChars="0" w:right="0" w:rightChars="0" w:firstLine="0" w:firstLineChars="0"/>
        <w:jc w:val="center"/>
        <w:textAlignment w:val="auto"/>
        <w:outlineLvl w:val="0"/>
        <w:rPr>
          <w:rFonts w:hint="eastAsia"/>
        </w:rPr>
      </w:pPr>
      <w:bookmarkStart w:id="8" w:name="_Toc8757"/>
      <w:r>
        <w:rPr>
          <w:rFonts w:hint="eastAsia"/>
        </w:rPr>
        <w:t>第三章　全面深化改革创新　培育经济社会发展新动力</w:t>
      </w:r>
      <w:bookmarkEnd w:id="8"/>
    </w:p>
    <w:p>
      <w:pPr>
        <w:pageBreakBefore w:val="0"/>
        <w:kinsoku/>
        <w:wordWrap/>
        <w:overflowPunct w:val="0"/>
        <w:topLinePunct w:val="0"/>
        <w:bidi w:val="0"/>
        <w:ind w:right="0" w:rightChars="0"/>
        <w:rPr>
          <w:rFonts w:hint="eastAsia" w:ascii="仿宋_GB2312" w:eastAsia="仿宋_GB2312"/>
          <w:sz w:val="24"/>
          <w:szCs w:val="24"/>
        </w:rPr>
      </w:pP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以破解制约老工业城区转型振兴发展的矛盾和问题为导向，深化重点领域和关键环节改革，增强经济内生发展活力和动力。到2020年，形成浓厚的改革创新氛围，经济社会实现提质增效、转型发展。</w:t>
      </w: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Style w:val="3"/>
        <w:keepNext/>
        <w:keepLines/>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center"/>
        <w:textAlignment w:val="auto"/>
        <w:outlineLvl w:val="1"/>
        <w:rPr>
          <w:rFonts w:hint="eastAsia"/>
        </w:rPr>
      </w:pPr>
      <w:bookmarkStart w:id="9" w:name="_Toc32548"/>
      <w:r>
        <w:rPr>
          <w:rFonts w:hint="eastAsia"/>
        </w:rPr>
        <w:t>第一节　深化国企改革</w:t>
      </w:r>
      <w:bookmarkEnd w:id="9"/>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auto"/>
        <w:rPr>
          <w:rFonts w:hint="eastAsia" w:ascii="仿宋" w:hAnsi="仿宋" w:eastAsia="仿宋" w:cs="仿宋"/>
          <w:b/>
          <w:bCs/>
          <w:sz w:val="24"/>
          <w:szCs w:val="24"/>
        </w:rPr>
      </w:pP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到2020年，形成更加符合市场规律的企业体制机制、国有资产管理体制，国有企业发展活力进一步提高，集体企业遗留问题</w:t>
      </w:r>
      <w:r>
        <w:rPr>
          <w:rFonts w:hint="eastAsia" w:ascii="仿宋_GB2312" w:eastAsia="仿宋_GB2312"/>
          <w:sz w:val="32"/>
          <w:szCs w:val="32"/>
          <w:lang w:eastAsia="zh-CN"/>
        </w:rPr>
        <w:t>逐步</w:t>
      </w:r>
      <w:r>
        <w:rPr>
          <w:rFonts w:hint="eastAsia" w:ascii="仿宋_GB2312" w:eastAsia="仿宋_GB2312"/>
          <w:sz w:val="32"/>
          <w:szCs w:val="32"/>
        </w:rPr>
        <w:t>解决。</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rPr>
        <w:t>深化国有企业改革。</w:t>
      </w:r>
      <w:r>
        <w:rPr>
          <w:rFonts w:hint="eastAsia" w:ascii="仿宋_GB2312" w:eastAsia="仿宋_GB2312"/>
          <w:sz w:val="32"/>
          <w:szCs w:val="32"/>
        </w:rPr>
        <w:t>完善国有企业治理模式和经营机制，鼓励非国有资本参与国企改制重组，大力推进国有资本资产化、证券化。解决国企改革历史遗留问题，分类别、多渠道解决厂办集体、分离企业办社会职能、离退休人员社会化管理等历史问题。</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rPr>
        <w:t>发展混合所有制经济。</w:t>
      </w:r>
      <w:r>
        <w:rPr>
          <w:rFonts w:hint="eastAsia" w:ascii="仿宋_GB2312" w:eastAsia="仿宋_GB2312"/>
          <w:sz w:val="32"/>
          <w:szCs w:val="32"/>
        </w:rPr>
        <w:t>发挥好国有企业在全面振兴中的重要支撑作用，充分利用各类资本市场，推动国有企业与民营企业融合发展。建立健全工资集体协商制度，保证劳动工资增长与经济增长、企业利润增长同步，提升混合所有制经济的比重。</w:t>
      </w: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Style w:val="3"/>
        <w:pageBreakBefore w:val="0"/>
        <w:widowControl w:val="0"/>
        <w:kinsoku/>
        <w:wordWrap/>
        <w:topLinePunct w:val="0"/>
        <w:autoSpaceDE/>
        <w:autoSpaceDN/>
        <w:bidi w:val="0"/>
        <w:adjustRightInd/>
        <w:snapToGrid/>
        <w:spacing w:line="240" w:lineRule="exact"/>
        <w:ind w:left="0" w:leftChars="0" w:right="0" w:rightChars="0" w:firstLine="0" w:firstLineChars="0"/>
        <w:textAlignment w:val="auto"/>
        <w:rPr>
          <w:rFonts w:hint="eastAsia"/>
        </w:rPr>
      </w:pPr>
      <w:bookmarkStart w:id="10" w:name="_Toc11316"/>
      <w:r>
        <w:rPr>
          <w:rFonts w:hint="eastAsia"/>
        </w:rPr>
        <w:t>第二节　支持非公有制经济发展</w:t>
      </w:r>
      <w:bookmarkEnd w:id="10"/>
    </w:p>
    <w:p>
      <w:pPr>
        <w:pageBreakBefore w:val="0"/>
        <w:kinsoku/>
        <w:wordWrap/>
        <w:overflowPunct w:val="0"/>
        <w:topLinePunct w:val="0"/>
        <w:bidi w:val="0"/>
        <w:ind w:right="0" w:rightChars="0"/>
        <w:rPr>
          <w:rFonts w:hint="eastAsia" w:ascii="仿宋_GB2312" w:eastAsia="仿宋_GB2312"/>
          <w:sz w:val="24"/>
          <w:szCs w:val="24"/>
        </w:rPr>
      </w:pP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全面落实促进民营企业发展各项政策措施，重点培育和发展冶材加工、机械加工、化工、纺织等行业，加快完善相关产品上、下游产业链，全面提高工业总体水平和市场占有率，形成结构合理、特色突出、效益显著的经济发展新格局。到2020年，全区民营企业达到</w:t>
      </w:r>
      <w:r>
        <w:rPr>
          <w:rFonts w:hint="eastAsia" w:ascii="仿宋_GB2312" w:eastAsia="仿宋_GB2312"/>
          <w:sz w:val="32"/>
          <w:szCs w:val="32"/>
          <w:lang w:val="en-US" w:eastAsia="zh-CN"/>
        </w:rPr>
        <w:t>7000</w:t>
      </w:r>
      <w:r>
        <w:rPr>
          <w:rFonts w:hint="eastAsia" w:ascii="仿宋_GB2312" w:eastAsia="仿宋_GB2312"/>
          <w:sz w:val="32"/>
          <w:szCs w:val="32"/>
        </w:rPr>
        <w:t>家，民营企业上缴税金达到</w:t>
      </w:r>
      <w:r>
        <w:rPr>
          <w:rFonts w:hint="eastAsia" w:ascii="仿宋_GB2312" w:eastAsia="仿宋_GB2312"/>
          <w:sz w:val="32"/>
          <w:szCs w:val="32"/>
          <w:lang w:val="en-US" w:eastAsia="zh-CN"/>
        </w:rPr>
        <w:t>14</w:t>
      </w:r>
      <w:r>
        <w:rPr>
          <w:rFonts w:hint="eastAsia" w:ascii="仿宋_GB2312" w:eastAsia="仿宋_GB2312"/>
          <w:sz w:val="32"/>
          <w:szCs w:val="32"/>
        </w:rPr>
        <w:t>亿元。</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rPr>
        <w:t>建立现代企业制度。</w:t>
      </w:r>
      <w:r>
        <w:rPr>
          <w:rFonts w:hint="eastAsia" w:ascii="仿宋_GB2312" w:eastAsia="仿宋_GB2312"/>
          <w:sz w:val="32"/>
          <w:szCs w:val="32"/>
        </w:rPr>
        <w:t>鼓励有条件的私营企业，构建与市场经济相适应的科学化、规范化的现代企业组织制度和管理制度，进一步提升非公有制经济的发展能力和水平。</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lang w:val="en-US" w:eastAsia="zh-CN"/>
        </w:rPr>
        <w:t xml:space="preserve"> </w:t>
      </w:r>
      <w:r>
        <w:rPr>
          <w:rFonts w:hint="eastAsia" w:ascii="仿宋_GB2312" w:eastAsia="仿宋_GB2312"/>
          <w:b/>
          <w:bCs/>
          <w:sz w:val="32"/>
          <w:szCs w:val="32"/>
        </w:rPr>
        <w:t>大力支持小微企业发展。</w:t>
      </w:r>
      <w:r>
        <w:rPr>
          <w:rFonts w:hint="eastAsia" w:ascii="仿宋_GB2312" w:eastAsia="仿宋_GB2312"/>
          <w:sz w:val="32"/>
          <w:szCs w:val="32"/>
        </w:rPr>
        <w:t>优化发展环境，加大财政资金支持和统筹力度，建立全区产业发展引导基金，落实扶持小微企业发展的各项税收优惠政策，促进中小微企业技术创新和集群化发展。鼓励国有大型企业、民营企业与小微企业结对帮扶，形成带动和产业上的链接，让小微企业找到自己的发展空间。</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lang w:val="en-US" w:eastAsia="zh-CN"/>
        </w:rPr>
        <w:t xml:space="preserve"> </w:t>
      </w:r>
      <w:r>
        <w:rPr>
          <w:rFonts w:hint="eastAsia" w:ascii="仿宋_GB2312" w:eastAsia="仿宋_GB2312"/>
          <w:b/>
          <w:bCs/>
          <w:sz w:val="32"/>
          <w:szCs w:val="32"/>
        </w:rPr>
        <w:t>促进创业带动就业。</w:t>
      </w:r>
      <w:r>
        <w:rPr>
          <w:rFonts w:hint="eastAsia" w:ascii="仿宋_GB2312" w:eastAsia="仿宋_GB2312"/>
          <w:sz w:val="32"/>
          <w:szCs w:val="32"/>
        </w:rPr>
        <w:t>创建政府激励创业、社会支持创业、劳动者勇于创业新机制，推进政府主导型创业孵化基地建设，完善孵化基地功能，健全创业服务体系，加强创业指导和培训，加大创业带头人培养力度，落实创业补贴等政策，提高劳动者创业能力和成功率。鼓励电子商务等领域创业就业，推动“互联网+”行动计划与就业创业相结合，创新发展壮大新兴业态，打造新的产业增长点，为“大众创业、万众创新”提供环境。</w:t>
      </w:r>
    </w:p>
    <w:p>
      <w:pPr>
        <w:pageBreakBefore w:val="0"/>
        <w:kinsoku/>
        <w:wordWrap/>
        <w:overflowPunct w:val="0"/>
        <w:topLinePunct w:val="0"/>
        <w:bidi w:val="0"/>
        <w:ind w:right="0" w:rightChars="0"/>
        <w:rPr>
          <w:rFonts w:hint="eastAsia" w:ascii="仿宋_GB2312" w:eastAsia="仿宋_GB2312"/>
          <w:sz w:val="24"/>
          <w:szCs w:val="24"/>
        </w:rPr>
      </w:pPr>
    </w:p>
    <w:p>
      <w:pPr>
        <w:pStyle w:val="3"/>
        <w:pageBreakBefore w:val="0"/>
        <w:widowControl w:val="0"/>
        <w:kinsoku/>
        <w:wordWrap/>
        <w:topLinePunct w:val="0"/>
        <w:autoSpaceDE/>
        <w:autoSpaceDN/>
        <w:bidi w:val="0"/>
        <w:adjustRightInd/>
        <w:snapToGrid/>
        <w:spacing w:line="240" w:lineRule="exact"/>
        <w:ind w:left="0" w:leftChars="0" w:right="0" w:rightChars="0" w:firstLine="0" w:firstLineChars="0"/>
        <w:textAlignment w:val="auto"/>
        <w:rPr>
          <w:rFonts w:hint="eastAsia"/>
        </w:rPr>
      </w:pPr>
      <w:bookmarkStart w:id="11" w:name="_Toc21528"/>
      <w:r>
        <w:rPr>
          <w:rFonts w:hint="eastAsia"/>
        </w:rPr>
        <w:t>第三节　深化财税体制改革</w:t>
      </w:r>
      <w:bookmarkEnd w:id="11"/>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lang w:val="en-US" w:eastAsia="zh-CN"/>
        </w:rPr>
      </w:pPr>
      <w:r>
        <w:rPr>
          <w:rFonts w:hint="eastAsia" w:ascii="仿宋_GB2312" w:eastAsia="仿宋_GB2312"/>
          <w:sz w:val="32"/>
          <w:szCs w:val="32"/>
          <w:lang w:val="en-US" w:eastAsia="zh-CN"/>
        </w:rPr>
        <w:t xml:space="preserve">    </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到2020年，建立起统一完整、法治规范、公开透明、运行高效，有利于优化资源配置、维护市场统一、促进社会公平、实现可持续</w:t>
      </w:r>
      <w:r>
        <w:rPr>
          <w:rFonts w:hint="eastAsia" w:ascii="仿宋_GB2312" w:eastAsia="仿宋_GB2312"/>
          <w:sz w:val="32"/>
          <w:szCs w:val="32"/>
          <w:lang w:eastAsia="zh-CN"/>
        </w:rPr>
        <w:t>发展</w:t>
      </w:r>
      <w:r>
        <w:rPr>
          <w:rFonts w:hint="eastAsia" w:ascii="仿宋_GB2312" w:eastAsia="仿宋_GB2312"/>
          <w:sz w:val="32"/>
          <w:szCs w:val="32"/>
        </w:rPr>
        <w:t>的现代财政制度。</w:t>
      </w:r>
    </w:p>
    <w:p>
      <w:pPr>
        <w:pageBreakBefore w:val="0"/>
        <w:kinsoku/>
        <w:wordWrap/>
        <w:overflowPunct w:val="0"/>
        <w:topLinePunct w:val="0"/>
        <w:bidi w:val="0"/>
        <w:ind w:right="0" w:rightChars="0"/>
        <w:rPr>
          <w:rFonts w:hint="eastAsia" w:ascii="仿宋_GB2312" w:hAnsi="仿宋_GB2312" w:eastAsia="仿宋_GB2312" w:cs="仿宋_GB2312"/>
          <w:sz w:val="32"/>
          <w:szCs w:val="32"/>
        </w:rPr>
      </w:pPr>
      <w:r>
        <w:rPr>
          <w:rFonts w:hint="eastAsia" w:ascii="仿宋_GB2312" w:eastAsia="仿宋_GB2312"/>
          <w:sz w:val="32"/>
          <w:szCs w:val="32"/>
          <w:lang w:val="en-US" w:eastAsia="zh-CN"/>
        </w:rPr>
        <w:t xml:space="preserve">    </w:t>
      </w:r>
      <w:r>
        <w:rPr>
          <w:rFonts w:hint="eastAsia" w:ascii="仿宋_GB2312" w:hAnsi="仿宋_GB2312" w:eastAsia="仿宋_GB2312" w:cs="仿宋_GB2312"/>
          <w:b/>
          <w:bCs/>
          <w:sz w:val="32"/>
          <w:szCs w:val="32"/>
        </w:rPr>
        <w:t>改进预算管理制度。</w:t>
      </w:r>
      <w:r>
        <w:rPr>
          <w:rFonts w:hint="eastAsia" w:ascii="仿宋_GB2312" w:hAnsi="仿宋_GB2312" w:eastAsia="仿宋_GB2312" w:cs="仿宋_GB2312"/>
          <w:sz w:val="32"/>
          <w:szCs w:val="32"/>
        </w:rPr>
        <w:t>推进年度预算改革，建立跨年度预算平衡机制，实行中期财政规划管理。完善预算执行动态监控机制。完善财政转移支付制度，规范财政行为，保障财政健康运行。</w:t>
      </w:r>
    </w:p>
    <w:p>
      <w:pPr>
        <w:pageBreakBefore w:val="0"/>
        <w:kinsoku/>
        <w:wordWrap/>
        <w:overflowPunct w:val="0"/>
        <w:topLinePunct w:val="0"/>
        <w:bidi w:val="0"/>
        <w:ind w:right="0" w:right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加强财政科学化精细化管理</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优化财政支出结构，保障民生等重点领域支出，提高财政资金使用效益，完善公共财政管理体系。推进政府购买服务改革，建设统一有效的政府购买服务平台和运行机制，增强政府提供基本公共服务能力。</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稳步推进财税体制改革</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推进资产管理事项在线审批。规范加强政府性债务管理，有效防范和化解地方政府性债务风险。完善税收制度，继续推进建筑业、房地产业、生活性服务业和金融业等营改增改革，稳步推进房产税、个人所得税、环境保护税等改革。</w:t>
      </w:r>
    </w:p>
    <w:p>
      <w:pPr>
        <w:pageBreakBefore w:val="0"/>
        <w:kinsoku/>
        <w:wordWrap/>
        <w:overflowPunct w:val="0"/>
        <w:topLinePunct w:val="0"/>
        <w:bidi w:val="0"/>
        <w:ind w:right="0" w:rightChars="0"/>
        <w:rPr>
          <w:rFonts w:hint="eastAsia" w:ascii="仿宋_GB2312" w:eastAsia="仿宋_GB2312"/>
          <w:sz w:val="24"/>
          <w:szCs w:val="24"/>
        </w:rPr>
      </w:pPr>
    </w:p>
    <w:p>
      <w:pPr>
        <w:pStyle w:val="3"/>
        <w:keepNext/>
        <w:keepLines/>
        <w:pageBreakBefore w:val="0"/>
        <w:widowControl w:val="0"/>
        <w:kinsoku/>
        <w:wordWrap/>
        <w:overflowPunct/>
        <w:topLinePunct w:val="0"/>
        <w:autoSpaceDE/>
        <w:autoSpaceDN/>
        <w:bidi w:val="0"/>
        <w:adjustRightInd/>
        <w:snapToGrid/>
        <w:spacing w:before="260" w:beforeLines="0" w:after="260" w:afterLines="0" w:line="240" w:lineRule="exact"/>
        <w:ind w:left="0" w:leftChars="0" w:right="0" w:rightChars="0" w:firstLine="0" w:firstLineChars="0"/>
        <w:jc w:val="center"/>
        <w:textAlignment w:val="auto"/>
        <w:outlineLvl w:val="1"/>
        <w:rPr>
          <w:rFonts w:hint="eastAsia"/>
        </w:rPr>
      </w:pPr>
      <w:bookmarkStart w:id="12" w:name="_Toc7971"/>
      <w:r>
        <w:rPr>
          <w:rFonts w:hint="eastAsia"/>
        </w:rPr>
        <w:t>第四节  推进行政管理体制改革</w:t>
      </w:r>
      <w:bookmarkEnd w:id="12"/>
    </w:p>
    <w:p>
      <w:pPr>
        <w:pageBreakBefore w:val="0"/>
        <w:kinsoku/>
        <w:wordWrap/>
        <w:overflowPunct w:val="0"/>
        <w:topLinePunct w:val="0"/>
        <w:bidi w:val="0"/>
        <w:ind w:right="0" w:rightChars="0"/>
        <w:rPr>
          <w:rFonts w:hint="eastAsia" w:ascii="仿宋_GB2312" w:eastAsia="仿宋_GB2312"/>
          <w:sz w:val="24"/>
          <w:szCs w:val="24"/>
        </w:rPr>
      </w:pP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到2020年，建立形成权责一致、分工合理、决策科学、执行顺畅、监督有力的行政管理体制。</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lang w:val="en-US" w:eastAsia="zh-CN"/>
        </w:rPr>
        <w:t xml:space="preserve"> </w:t>
      </w:r>
      <w:r>
        <w:rPr>
          <w:rFonts w:hint="eastAsia" w:ascii="仿宋_GB2312" w:eastAsia="仿宋_GB2312"/>
          <w:b/>
          <w:bCs/>
          <w:sz w:val="32"/>
          <w:szCs w:val="32"/>
        </w:rPr>
        <w:t>推进行政管理体制改革。</w:t>
      </w:r>
      <w:r>
        <w:rPr>
          <w:rFonts w:hint="eastAsia" w:ascii="仿宋_GB2312" w:eastAsia="仿宋_GB2312"/>
          <w:sz w:val="32"/>
          <w:szCs w:val="32"/>
        </w:rPr>
        <w:t>建立科学决策、分工合理、执行方便、监督有力的行政管理机制，建设服务型政府、责任政府。完善政府绩效管理体制，优化考评体系；实行行政权力清单制度，自觉接受群众监督；稳步推进政府购买服务工作，推广政府与社会资本在市政基础设施等方面合作（PPP）模式，提高公共服务质量和效率；加快推进投资体制改革，简化政府建设项目审批核准程序，提高工作效率；创新行政管理方式，推进政府机构改革，进一步优化政府组织结构，规范机构设置，完善行政运营机制，加强依法行政和制度建设，健全监督机制，强化责任追究，提高政府公信力和执行力。</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rPr>
        <w:t>推进社会建设领域改革。</w:t>
      </w:r>
      <w:r>
        <w:rPr>
          <w:rFonts w:hint="eastAsia" w:ascii="仿宋_GB2312" w:eastAsia="仿宋_GB2312"/>
          <w:sz w:val="32"/>
          <w:szCs w:val="32"/>
        </w:rPr>
        <w:t>深化农村各项制度改革，推进承包权和经营权分离，形成所有权、承包权、经营权三权分置、经营权流转的新格局。尊重保护农民意愿，依法保护农民的利益。推进司法体制改革，实现社会公平正义，维护社会和谐稳定。深化医药卫生体制改革，注重医疗卫生资源在不同区域的公平配置。</w:t>
      </w:r>
    </w:p>
    <w:p>
      <w:pPr>
        <w:pageBreakBefore w:val="0"/>
        <w:kinsoku/>
        <w:wordWrap/>
        <w:overflowPunct w:val="0"/>
        <w:topLinePunct w:val="0"/>
        <w:bidi w:val="0"/>
        <w:ind w:right="0" w:rightChars="0"/>
        <w:rPr>
          <w:rFonts w:hint="eastAsia" w:ascii="仿宋_GB2312" w:eastAsia="仿宋_GB2312"/>
          <w:sz w:val="24"/>
          <w:szCs w:val="24"/>
        </w:rPr>
      </w:pPr>
    </w:p>
    <w:p>
      <w:pPr>
        <w:pStyle w:val="3"/>
        <w:keepNext/>
        <w:keepLines/>
        <w:pageBreakBefore w:val="0"/>
        <w:widowControl w:val="0"/>
        <w:kinsoku/>
        <w:wordWrap/>
        <w:overflowPunct/>
        <w:topLinePunct w:val="0"/>
        <w:autoSpaceDE/>
        <w:autoSpaceDN/>
        <w:bidi w:val="0"/>
        <w:adjustRightInd/>
        <w:snapToGrid/>
        <w:spacing w:before="260" w:beforeLines="0" w:after="260" w:afterLines="0" w:line="240" w:lineRule="exact"/>
        <w:ind w:left="0" w:leftChars="0" w:right="0" w:rightChars="0" w:firstLine="0" w:firstLineChars="0"/>
        <w:jc w:val="center"/>
        <w:textAlignment w:val="auto"/>
        <w:outlineLvl w:val="1"/>
        <w:rPr>
          <w:rFonts w:hint="eastAsia"/>
        </w:rPr>
      </w:pPr>
      <w:bookmarkStart w:id="13" w:name="_Toc17935"/>
      <w:r>
        <w:rPr>
          <w:rFonts w:hint="eastAsia"/>
        </w:rPr>
        <w:t>第五节　深化行政审批制度改革</w:t>
      </w:r>
      <w:bookmarkEnd w:id="13"/>
    </w:p>
    <w:p>
      <w:pPr>
        <w:pageBreakBefore w:val="0"/>
        <w:kinsoku/>
        <w:wordWrap/>
        <w:overflowPunct w:val="0"/>
        <w:topLinePunct w:val="0"/>
        <w:bidi w:val="0"/>
        <w:ind w:right="0" w:rightChars="0"/>
        <w:rPr>
          <w:rFonts w:hint="eastAsia" w:ascii="仿宋_GB2312" w:eastAsia="仿宋_GB2312"/>
          <w:sz w:val="24"/>
          <w:szCs w:val="24"/>
        </w:rPr>
      </w:pP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到2020年，实现政府职能转变和管理方式创新，为全面深化改革开辟新空间，经济社会发展注入新活力。</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rPr>
        <w:t>着力推进简政放权。</w:t>
      </w:r>
      <w:r>
        <w:rPr>
          <w:rFonts w:hint="eastAsia" w:ascii="仿宋_GB2312" w:eastAsia="仿宋_GB2312"/>
          <w:sz w:val="32"/>
          <w:szCs w:val="32"/>
        </w:rPr>
        <w:t>认真梳理国家和省市取消下放的行政审批事项，全面清理和减少行政许可、非行政许可审批和备案事项。</w:t>
      </w:r>
      <w:r>
        <w:rPr>
          <w:rFonts w:hint="eastAsia" w:ascii="仿宋_GB2312" w:eastAsia="仿宋_GB2312"/>
          <w:b w:val="0"/>
          <w:bCs w:val="0"/>
          <w:sz w:val="32"/>
          <w:szCs w:val="32"/>
        </w:rPr>
        <w:t>全面推进并联审批。</w:t>
      </w:r>
      <w:r>
        <w:rPr>
          <w:rFonts w:hint="eastAsia" w:ascii="仿宋_GB2312" w:eastAsia="仿宋_GB2312"/>
          <w:sz w:val="32"/>
          <w:szCs w:val="32"/>
        </w:rPr>
        <w:t>进一步减少审批环节，压缩审批时限，简化审批程序，规范审批行为，实行行政审批“一站式”办理。</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rPr>
        <w:t>加强行政审批监督管理。</w:t>
      </w:r>
      <w:r>
        <w:rPr>
          <w:rFonts w:hint="eastAsia" w:ascii="仿宋_GB2312" w:eastAsia="仿宋_GB2312"/>
          <w:sz w:val="32"/>
          <w:szCs w:val="32"/>
        </w:rPr>
        <w:t>健全落实行政审批事项后续监管、问责等制度。建立、完善和推行重大行政决策听取意见制度、听证制度、合法性审查制度和实施情况后评价制度。</w:t>
      </w:r>
      <w:r>
        <w:rPr>
          <w:rFonts w:hint="eastAsia" w:ascii="仿宋_GB2312" w:eastAsia="仿宋_GB2312"/>
          <w:b w:val="0"/>
          <w:bCs w:val="0"/>
          <w:sz w:val="32"/>
          <w:szCs w:val="32"/>
        </w:rPr>
        <w:t>加快建设行政审批电子监察系统。</w:t>
      </w:r>
      <w:r>
        <w:rPr>
          <w:rFonts w:hint="eastAsia" w:ascii="仿宋_GB2312" w:eastAsia="仿宋_GB2312"/>
          <w:sz w:val="32"/>
          <w:szCs w:val="32"/>
        </w:rPr>
        <w:t>实现对网上行政审批项目的实时监控和预警纠错，并开展绩效评价，定期予以通报。</w:t>
      </w:r>
    </w:p>
    <w:p>
      <w:pPr>
        <w:pageBreakBefore w:val="0"/>
        <w:kinsoku/>
        <w:wordWrap/>
        <w:overflowPunct w:val="0"/>
        <w:topLinePunct w:val="0"/>
        <w:bidi w:val="0"/>
        <w:ind w:right="0" w:rightChars="0" w:firstLine="640" w:firstLineChars="200"/>
        <w:rPr>
          <w:rFonts w:hint="eastAsia" w:ascii="仿宋_GB2312" w:eastAsia="仿宋_GB2312"/>
          <w:sz w:val="32"/>
          <w:szCs w:val="32"/>
        </w:rPr>
      </w:pPr>
      <w:r>
        <w:rPr>
          <w:rFonts w:hint="eastAsia" w:ascii="仿宋_GB2312" w:eastAsia="仿宋_GB2312"/>
          <w:b/>
          <w:bCs/>
          <w:sz w:val="32"/>
          <w:szCs w:val="32"/>
        </w:rPr>
        <w:t>健全权责清单动态管理机制。</w:t>
      </w:r>
      <w:r>
        <w:rPr>
          <w:rFonts w:hint="eastAsia" w:ascii="仿宋_GB2312" w:eastAsia="仿宋_GB2312"/>
          <w:sz w:val="32"/>
          <w:szCs w:val="32"/>
        </w:rPr>
        <w:t>对权责清单及时调整完善。</w:t>
      </w:r>
    </w:p>
    <w:p>
      <w:pPr>
        <w:pStyle w:val="3"/>
        <w:keepNext/>
        <w:keepLines/>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center"/>
        <w:textAlignment w:val="auto"/>
        <w:outlineLvl w:val="1"/>
        <w:rPr>
          <w:rFonts w:hint="eastAsia"/>
        </w:rPr>
      </w:pPr>
      <w:bookmarkStart w:id="14" w:name="_Toc2196"/>
      <w:r>
        <w:rPr>
          <w:rFonts w:hint="eastAsia"/>
        </w:rPr>
        <w:t>第六节　全力推进创新驱动</w:t>
      </w:r>
      <w:bookmarkEnd w:id="14"/>
    </w:p>
    <w:p>
      <w:pPr>
        <w:pageBreakBefore w:val="0"/>
        <w:kinsoku/>
        <w:wordWrap/>
        <w:overflowPunct w:val="0"/>
        <w:topLinePunct w:val="0"/>
        <w:bidi w:val="0"/>
        <w:ind w:right="0" w:rightChars="0"/>
        <w:rPr>
          <w:rFonts w:hint="eastAsia" w:ascii="仿宋_GB2312" w:eastAsia="仿宋_GB2312"/>
          <w:sz w:val="24"/>
          <w:szCs w:val="24"/>
        </w:rPr>
      </w:pP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树立“经科教联动、产学研结合、校所企共赢”的创新驱动理念，促进统筹协调和协同创新。到2020年，培育创新型企业50家、知识产权优势企业30家，高新技术产品增加值增长50%以上，科技进步贡献率达到75%以上。</w:t>
      </w:r>
    </w:p>
    <w:p>
      <w:pPr>
        <w:pageBreakBefore w:val="0"/>
        <w:kinsoku/>
        <w:wordWrap/>
        <w:overflowPunct w:val="0"/>
        <w:topLinePunct w:val="0"/>
        <w:bidi w:val="0"/>
        <w:ind w:right="0" w:rightChars="0" w:firstLine="640" w:firstLineChars="200"/>
        <w:rPr>
          <w:rFonts w:hint="eastAsia" w:ascii="仿宋_GB2312" w:eastAsia="仿宋_GB2312"/>
          <w:sz w:val="32"/>
          <w:szCs w:val="32"/>
        </w:rPr>
      </w:pPr>
      <w:r>
        <w:rPr>
          <w:rFonts w:hint="eastAsia" w:ascii="仿宋_GB2312" w:eastAsia="仿宋_GB2312"/>
          <w:b/>
          <w:bCs/>
          <w:sz w:val="32"/>
          <w:szCs w:val="32"/>
        </w:rPr>
        <w:t>加强企业自主创新能力。</w:t>
      </w:r>
      <w:r>
        <w:rPr>
          <w:rFonts w:hint="eastAsia" w:ascii="仿宋_GB2312" w:eastAsia="仿宋_GB2312"/>
          <w:sz w:val="32"/>
          <w:szCs w:val="32"/>
        </w:rPr>
        <w:t>发挥政府投入引导作用，引导和鼓励金融机构对科技型企业给予信贷支持；充分发挥抚顺特钢等龙头企业在科技创新过程中的示范引领作用，打造全国精品钢材基地；实施创新驱动发展战略，启动科技创新工程，为产业发展提供技术支撑，并带动企业技术创新能力的提升，建立5处市级以上技术创新基地，使全区主导产业的研发体系基本与产业发展相适应，构建可持续发展的科技公共服务平台。</w:t>
      </w:r>
    </w:p>
    <w:p>
      <w:pPr>
        <w:pageBreakBefore w:val="0"/>
        <w:kinsoku/>
        <w:wordWrap/>
        <w:overflowPunct w:val="0"/>
        <w:topLinePunct w:val="0"/>
        <w:bidi w:val="0"/>
        <w:ind w:right="0" w:rightChars="0" w:firstLine="640" w:firstLineChars="200"/>
        <w:rPr>
          <w:rFonts w:hint="eastAsia" w:ascii="仿宋_GB2312" w:eastAsia="仿宋_GB2312"/>
          <w:sz w:val="32"/>
          <w:szCs w:val="32"/>
        </w:rPr>
      </w:pPr>
      <w:r>
        <w:rPr>
          <w:rFonts w:hint="eastAsia" w:ascii="仿宋_GB2312" w:hAnsi="仿宋_GB2312" w:eastAsia="仿宋_GB2312" w:cs="仿宋_GB2312"/>
          <w:b/>
          <w:bCs/>
          <w:sz w:val="32"/>
          <w:szCs w:val="32"/>
        </w:rPr>
        <w:t>推动企业创新资本运营。</w:t>
      </w:r>
      <w:r>
        <w:rPr>
          <w:rFonts w:hint="eastAsia" w:ascii="仿宋_GB2312" w:hAnsi="仿宋_GB2312" w:eastAsia="仿宋_GB2312" w:cs="仿宋_GB2312"/>
          <w:sz w:val="32"/>
          <w:szCs w:val="32"/>
        </w:rPr>
        <w:t>加大</w:t>
      </w:r>
      <w:r>
        <w:rPr>
          <w:rFonts w:hint="eastAsia" w:ascii="仿宋_GB2312" w:hAnsi="仿宋_GB2312" w:eastAsia="仿宋_GB2312" w:cs="仿宋_GB2312"/>
          <w:sz w:val="32"/>
          <w:szCs w:val="32"/>
          <w:lang w:eastAsia="zh-CN"/>
        </w:rPr>
        <w:t>政府</w:t>
      </w:r>
      <w:r>
        <w:rPr>
          <w:rFonts w:hint="eastAsia" w:ascii="仿宋_GB2312" w:hAnsi="仿宋_GB2312" w:eastAsia="仿宋_GB2312" w:cs="仿宋_GB2312"/>
          <w:sz w:val="32"/>
          <w:szCs w:val="32"/>
        </w:rPr>
        <w:t>引导力度，推动企业创新资本运营，加快改制上市步伐，利用资本市场扩大直接融资规模，做大做强做优，提高竞争实力。强化政策扶持，优化服务推动，利用政府投入的乘数效应，撬动金融和社会资本支持企业发展。研究解决企业股改、挂牌上市中的重大问题，为企业挂牌上市开辟“绿色通道”。20</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新增</w:t>
      </w:r>
      <w:r>
        <w:rPr>
          <w:rFonts w:hint="eastAsia" w:ascii="仿宋_GB2312" w:hAnsi="仿宋_GB2312" w:eastAsia="仿宋_GB2312" w:cs="仿宋_GB2312"/>
          <w:sz w:val="32"/>
          <w:szCs w:val="32"/>
        </w:rPr>
        <w:t>登陆区域性股权交易市场或在新三版挂牌上市</w:t>
      </w:r>
      <w:r>
        <w:rPr>
          <w:rFonts w:hint="eastAsia" w:ascii="仿宋_GB2312" w:hAnsi="仿宋_GB2312" w:eastAsia="仿宋_GB2312" w:cs="仿宋_GB2312"/>
          <w:sz w:val="32"/>
          <w:szCs w:val="32"/>
          <w:lang w:eastAsia="zh-CN"/>
        </w:rPr>
        <w:t>企业</w:t>
      </w:r>
      <w:r>
        <w:rPr>
          <w:rFonts w:hint="eastAsia" w:ascii="仿宋_GB2312" w:hAnsi="仿宋_GB2312" w:eastAsia="仿宋_GB2312" w:cs="仿宋_GB2312"/>
          <w:sz w:val="32"/>
          <w:szCs w:val="32"/>
          <w:lang w:val="en-US" w:eastAsia="zh-CN"/>
        </w:rPr>
        <w:t>2户，2018年新增4户，到2020年累计</w:t>
      </w:r>
      <w:r>
        <w:rPr>
          <w:rFonts w:hint="eastAsia" w:ascii="仿宋_GB2312" w:hAnsi="仿宋_GB2312" w:eastAsia="仿宋_GB2312" w:cs="仿宋_GB2312"/>
          <w:sz w:val="32"/>
          <w:szCs w:val="32"/>
          <w:lang w:eastAsia="zh-CN"/>
        </w:rPr>
        <w:t>达到</w:t>
      </w:r>
      <w:r>
        <w:rPr>
          <w:rFonts w:hint="eastAsia" w:ascii="仿宋_GB2312" w:hAnsi="仿宋_GB2312" w:eastAsia="仿宋_GB2312" w:cs="仿宋_GB2312"/>
          <w:sz w:val="32"/>
          <w:szCs w:val="32"/>
        </w:rPr>
        <w:t>10户</w:t>
      </w:r>
      <w:r>
        <w:rPr>
          <w:rFonts w:hint="eastAsia" w:ascii="仿宋_GB2312" w:hAnsi="仿宋_GB2312" w:eastAsia="仿宋_GB2312" w:cs="仿宋_GB2312"/>
          <w:sz w:val="32"/>
          <w:szCs w:val="32"/>
          <w:lang w:eastAsia="zh-CN"/>
        </w:rPr>
        <w:t>以上，非信贷融资额累计达到</w:t>
      </w:r>
      <w:r>
        <w:rPr>
          <w:rFonts w:hint="eastAsia" w:ascii="仿宋_GB2312" w:hAnsi="仿宋_GB2312" w:eastAsia="仿宋_GB2312" w:cs="仿宋_GB2312"/>
          <w:sz w:val="32"/>
          <w:szCs w:val="32"/>
          <w:lang w:val="en-US" w:eastAsia="zh-CN"/>
        </w:rPr>
        <w:t>110亿元</w:t>
      </w:r>
      <w:r>
        <w:rPr>
          <w:rFonts w:hint="eastAsia" w:ascii="仿宋_GB2312" w:hAnsi="仿宋_GB2312" w:eastAsia="仿宋_GB2312" w:cs="仿宋_GB2312"/>
          <w:sz w:val="32"/>
          <w:szCs w:val="32"/>
        </w:rPr>
        <w:t>。</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rPr>
        <w:t>推进创新型人才队伍建设。</w:t>
      </w:r>
      <w:r>
        <w:rPr>
          <w:rFonts w:hint="eastAsia" w:ascii="仿宋_GB2312" w:eastAsia="仿宋_GB2312"/>
          <w:sz w:val="32"/>
          <w:szCs w:val="32"/>
        </w:rPr>
        <w:t>加快创新人才引进，实施引智工程，吸引一批高层次专业技术人才落户望花</w:t>
      </w:r>
      <w:r>
        <w:rPr>
          <w:rFonts w:hint="eastAsia" w:ascii="仿宋_GB2312" w:eastAsia="仿宋_GB2312"/>
          <w:sz w:val="32"/>
          <w:szCs w:val="32"/>
          <w:lang w:eastAsia="zh-CN"/>
        </w:rPr>
        <w:t>区</w:t>
      </w:r>
      <w:r>
        <w:rPr>
          <w:rFonts w:hint="eastAsia" w:ascii="仿宋_GB2312" w:eastAsia="仿宋_GB2312"/>
          <w:sz w:val="32"/>
          <w:szCs w:val="32"/>
        </w:rPr>
        <w:t>，以强内功为重点，提高企业自主创新能力，建立健全有利于创新的考核评价与激励机制，让各类人才在创新活动中得到合理回报，实现感情留人、政策留人、待遇留人，确保创新人才引得进、留得住、放得开、用得活。加强基层人才、农村新型农民和经营管理等实用型人才能力培养和队伍建设。到“十三五”末期，建立专业齐全、结构合理、素质优良的高层次创新型人才团队10支以上。</w:t>
      </w:r>
    </w:p>
    <w:p>
      <w:pPr>
        <w:pageBreakBefore w:val="0"/>
        <w:kinsoku/>
        <w:wordWrap/>
        <w:overflowPunct w:val="0"/>
        <w:topLinePunct w:val="0"/>
        <w:bidi w:val="0"/>
        <w:ind w:right="0" w:rightChars="0"/>
        <w:rPr>
          <w:rFonts w:hint="eastAsia" w:ascii="仿宋_GB2312" w:eastAsia="仿宋_GB2312"/>
          <w:sz w:val="24"/>
          <w:szCs w:val="24"/>
        </w:rPr>
      </w:pPr>
    </w:p>
    <w:p>
      <w:pPr>
        <w:pStyle w:val="3"/>
        <w:keepNext/>
        <w:keepLines/>
        <w:pageBreakBefore w:val="0"/>
        <w:widowControl w:val="0"/>
        <w:kinsoku/>
        <w:wordWrap/>
        <w:overflowPunct/>
        <w:topLinePunct w:val="0"/>
        <w:autoSpaceDE/>
        <w:autoSpaceDN/>
        <w:bidi w:val="0"/>
        <w:adjustRightInd/>
        <w:snapToGrid/>
        <w:spacing w:before="260" w:beforeLines="0" w:after="260" w:afterLines="0" w:line="240" w:lineRule="exact"/>
        <w:ind w:left="0" w:leftChars="0" w:right="0" w:rightChars="0" w:firstLine="0" w:firstLineChars="0"/>
        <w:jc w:val="center"/>
        <w:textAlignment w:val="auto"/>
        <w:outlineLvl w:val="1"/>
        <w:rPr>
          <w:rFonts w:hint="eastAsia"/>
        </w:rPr>
      </w:pPr>
      <w:bookmarkStart w:id="15" w:name="_Toc27868"/>
      <w:r>
        <w:rPr>
          <w:rFonts w:hint="eastAsia"/>
        </w:rPr>
        <w:t>第七节　积极发展政产学研</w:t>
      </w:r>
      <w:r>
        <w:rPr>
          <w:rFonts w:hint="eastAsia"/>
          <w:lang w:eastAsia="zh-CN"/>
        </w:rPr>
        <w:t>金</w:t>
      </w:r>
      <w:r>
        <w:rPr>
          <w:rFonts w:hint="eastAsia"/>
        </w:rPr>
        <w:t>联盟</w:t>
      </w:r>
      <w:bookmarkEnd w:id="15"/>
    </w:p>
    <w:p>
      <w:pPr>
        <w:pageBreakBefore w:val="0"/>
        <w:kinsoku/>
        <w:wordWrap/>
        <w:overflowPunct w:val="0"/>
        <w:topLinePunct w:val="0"/>
        <w:bidi w:val="0"/>
        <w:ind w:right="0" w:rightChars="0"/>
        <w:rPr>
          <w:rFonts w:hint="eastAsia" w:ascii="仿宋_GB2312" w:eastAsia="仿宋_GB2312"/>
          <w:sz w:val="24"/>
          <w:szCs w:val="24"/>
        </w:rPr>
      </w:pPr>
    </w:p>
    <w:p>
      <w:pPr>
        <w:pageBreakBefore w:val="0"/>
        <w:kinsoku/>
        <w:wordWrap/>
        <w:overflowPunct w:val="0"/>
        <w:topLinePunct w:val="0"/>
        <w:bidi w:val="0"/>
        <w:ind w:right="0" w:rightChars="0"/>
        <w:rPr>
          <w:rFonts w:hint="eastAsia" w:ascii="仿宋_GB2312" w:eastAsia="仿宋_GB2312"/>
          <w:sz w:val="32"/>
          <w:szCs w:val="32"/>
          <w:bdr w:val="single" w:color="auto" w:sz="4" w:space="0"/>
        </w:rPr>
      </w:pPr>
      <w:r>
        <w:rPr>
          <w:rFonts w:hint="eastAsia" w:ascii="仿宋_GB2312" w:eastAsia="仿宋_GB2312"/>
          <w:sz w:val="32"/>
          <w:szCs w:val="32"/>
          <w:lang w:val="en-US" w:eastAsia="zh-CN"/>
        </w:rPr>
        <w:t xml:space="preserve">    </w:t>
      </w:r>
      <w:r>
        <w:rPr>
          <w:rFonts w:hint="eastAsia" w:ascii="仿宋_GB2312" w:eastAsia="仿宋_GB2312"/>
          <w:sz w:val="32"/>
          <w:szCs w:val="32"/>
        </w:rPr>
        <w:t>深入推进科技与经济紧密结合，推动产学研</w:t>
      </w:r>
      <w:r>
        <w:rPr>
          <w:rFonts w:hint="eastAsia" w:ascii="仿宋_GB2312" w:eastAsia="仿宋_GB2312"/>
          <w:sz w:val="32"/>
          <w:szCs w:val="32"/>
          <w:lang w:eastAsia="zh-CN"/>
        </w:rPr>
        <w:t>金</w:t>
      </w:r>
      <w:r>
        <w:rPr>
          <w:rFonts w:hint="eastAsia" w:ascii="仿宋_GB2312" w:eastAsia="仿宋_GB2312"/>
          <w:sz w:val="32"/>
          <w:szCs w:val="32"/>
        </w:rPr>
        <w:t>深入融合，实现科技与产业无缝对接，不断提高科技进步对经济增长的贡献率。发挥区域优势，主动创新驱动，构建综合性科技创新服务平台，组建坚强有力的创新型、开拓型工作团队，不断完善联盟运行机制，强化科技同经济对接、创新成果同产业对接、创新项目同现实生产力对接，研发人员创新劳动同利益收入对接，形成有利于创新成果产业化的新机制。到2020年，全区高新技术产业实现产值</w:t>
      </w:r>
      <w:r>
        <w:rPr>
          <w:rFonts w:hint="eastAsia" w:ascii="仿宋_GB2312" w:eastAsia="仿宋_GB2312"/>
          <w:sz w:val="32"/>
          <w:szCs w:val="32"/>
          <w:lang w:val="en-US" w:eastAsia="zh-CN"/>
        </w:rPr>
        <w:t>50</w:t>
      </w:r>
      <w:r>
        <w:rPr>
          <w:rFonts w:hint="eastAsia" w:ascii="仿宋_GB2312" w:eastAsia="仿宋_GB2312"/>
          <w:sz w:val="32"/>
          <w:szCs w:val="32"/>
        </w:rPr>
        <w:t>亿元，高新产业工业增加值占规模以上工业增加值比重达到</w:t>
      </w:r>
      <w:r>
        <w:rPr>
          <w:rFonts w:hint="eastAsia" w:ascii="仿宋_GB2312" w:eastAsia="仿宋_GB2312"/>
          <w:sz w:val="32"/>
          <w:szCs w:val="32"/>
          <w:lang w:val="en-US" w:eastAsia="zh-CN"/>
        </w:rPr>
        <w:t>65</w:t>
      </w:r>
      <w:r>
        <w:rPr>
          <w:rFonts w:hint="eastAsia" w:ascii="仿宋_GB2312" w:eastAsia="仿宋_GB2312"/>
          <w:sz w:val="32"/>
          <w:szCs w:val="32"/>
        </w:rPr>
        <w:t>％；全区专利申请量超过</w:t>
      </w:r>
      <w:r>
        <w:rPr>
          <w:rFonts w:hint="eastAsia" w:ascii="仿宋_GB2312" w:eastAsia="仿宋_GB2312"/>
          <w:sz w:val="32"/>
          <w:szCs w:val="32"/>
          <w:lang w:val="en-US" w:eastAsia="zh-CN"/>
        </w:rPr>
        <w:t>150</w:t>
      </w:r>
      <w:r>
        <w:rPr>
          <w:rFonts w:hint="eastAsia" w:ascii="仿宋_GB2312" w:eastAsia="仿宋_GB2312"/>
          <w:sz w:val="32"/>
          <w:szCs w:val="32"/>
        </w:rPr>
        <w:t>件，专利授权量超过</w:t>
      </w:r>
      <w:r>
        <w:rPr>
          <w:rFonts w:hint="eastAsia" w:ascii="仿宋_GB2312" w:eastAsia="仿宋_GB2312"/>
          <w:sz w:val="32"/>
          <w:szCs w:val="32"/>
          <w:lang w:val="en-US" w:eastAsia="zh-CN"/>
        </w:rPr>
        <w:t>100</w:t>
      </w:r>
      <w:r>
        <w:rPr>
          <w:rFonts w:hint="eastAsia" w:ascii="仿宋_GB2312" w:eastAsia="仿宋_GB2312"/>
          <w:sz w:val="32"/>
          <w:szCs w:val="32"/>
        </w:rPr>
        <w:t>件，全区高新技术企业总数累计达到</w:t>
      </w:r>
      <w:r>
        <w:rPr>
          <w:rFonts w:hint="eastAsia" w:ascii="仿宋_GB2312" w:eastAsia="仿宋_GB2312"/>
          <w:sz w:val="32"/>
          <w:szCs w:val="32"/>
          <w:lang w:val="en-US" w:eastAsia="zh-CN"/>
        </w:rPr>
        <w:t>30</w:t>
      </w:r>
      <w:r>
        <w:rPr>
          <w:rFonts w:hint="eastAsia" w:ascii="仿宋_GB2312" w:eastAsia="仿宋_GB2312"/>
          <w:sz w:val="32"/>
          <w:szCs w:val="32"/>
        </w:rPr>
        <w:t>家。</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rPr>
        <w:t>加快构建区域创新体系。</w:t>
      </w:r>
      <w:r>
        <w:rPr>
          <w:rFonts w:hint="eastAsia" w:ascii="仿宋_GB2312" w:eastAsia="仿宋_GB2312"/>
          <w:sz w:val="32"/>
          <w:szCs w:val="32"/>
        </w:rPr>
        <w:t>把深化政产学研</w:t>
      </w:r>
      <w:r>
        <w:rPr>
          <w:rFonts w:hint="eastAsia" w:ascii="仿宋_GB2312" w:eastAsia="仿宋_GB2312"/>
          <w:sz w:val="32"/>
          <w:szCs w:val="32"/>
          <w:lang w:eastAsia="zh-CN"/>
        </w:rPr>
        <w:t>金</w:t>
      </w:r>
      <w:r>
        <w:rPr>
          <w:rFonts w:hint="eastAsia" w:ascii="仿宋_GB2312" w:eastAsia="仿宋_GB2312"/>
          <w:sz w:val="32"/>
          <w:szCs w:val="32"/>
        </w:rPr>
        <w:t>合作作为构建和完善具有望花</w:t>
      </w:r>
      <w:r>
        <w:rPr>
          <w:rFonts w:hint="eastAsia" w:ascii="仿宋_GB2312" w:eastAsia="仿宋_GB2312"/>
          <w:sz w:val="32"/>
          <w:szCs w:val="32"/>
          <w:lang w:eastAsia="zh-CN"/>
        </w:rPr>
        <w:t>区</w:t>
      </w:r>
      <w:r>
        <w:rPr>
          <w:rFonts w:hint="eastAsia" w:ascii="仿宋_GB2312" w:eastAsia="仿宋_GB2312"/>
          <w:sz w:val="32"/>
          <w:szCs w:val="32"/>
        </w:rPr>
        <w:t>特色的区域创新体系，推动区域创新能力全面提升，加快实现产业升级和城市转型。坚持立足自身学科优势，紧密结合望花</w:t>
      </w:r>
      <w:r>
        <w:rPr>
          <w:rFonts w:hint="eastAsia" w:ascii="仿宋_GB2312" w:eastAsia="仿宋_GB2312"/>
          <w:sz w:val="32"/>
          <w:szCs w:val="32"/>
          <w:lang w:eastAsia="zh-CN"/>
        </w:rPr>
        <w:t>区</w:t>
      </w:r>
      <w:r>
        <w:rPr>
          <w:rFonts w:hint="eastAsia" w:ascii="仿宋_GB2312" w:eastAsia="仿宋_GB2312"/>
          <w:sz w:val="32"/>
          <w:szCs w:val="32"/>
        </w:rPr>
        <w:t>科技创新需求，实现校地双方良性互动的双赢局面，推动政产学研</w:t>
      </w:r>
      <w:r>
        <w:rPr>
          <w:rFonts w:hint="eastAsia" w:ascii="仿宋_GB2312" w:eastAsia="仿宋_GB2312"/>
          <w:sz w:val="32"/>
          <w:szCs w:val="32"/>
          <w:lang w:eastAsia="zh-CN"/>
        </w:rPr>
        <w:t>金</w:t>
      </w:r>
      <w:r>
        <w:rPr>
          <w:rFonts w:hint="eastAsia" w:ascii="仿宋_GB2312" w:eastAsia="仿宋_GB2312"/>
          <w:sz w:val="32"/>
          <w:szCs w:val="32"/>
        </w:rPr>
        <w:t>合作全面深入实施。建立联系广泛、合作紧密、优势互补的合作模式，形成“以市场为导向、企业为主体、政府作引导、院校为依托、各方要素联动”政产学研</w:t>
      </w:r>
      <w:r>
        <w:rPr>
          <w:rFonts w:hint="eastAsia" w:ascii="仿宋_GB2312" w:eastAsia="仿宋_GB2312"/>
          <w:sz w:val="32"/>
          <w:szCs w:val="32"/>
          <w:lang w:eastAsia="zh-CN"/>
        </w:rPr>
        <w:t>金</w:t>
      </w:r>
      <w:r>
        <w:rPr>
          <w:rFonts w:hint="eastAsia" w:ascii="仿宋_GB2312" w:eastAsia="仿宋_GB2312"/>
          <w:sz w:val="32"/>
          <w:szCs w:val="32"/>
        </w:rPr>
        <w:t>合作工作体系，政产学研</w:t>
      </w:r>
      <w:r>
        <w:rPr>
          <w:rFonts w:hint="eastAsia" w:ascii="仿宋_GB2312" w:eastAsia="仿宋_GB2312"/>
          <w:sz w:val="32"/>
          <w:szCs w:val="32"/>
          <w:lang w:eastAsia="zh-CN"/>
        </w:rPr>
        <w:t>金</w:t>
      </w:r>
      <w:r>
        <w:rPr>
          <w:rFonts w:hint="eastAsia" w:ascii="仿宋_GB2312" w:eastAsia="仿宋_GB2312"/>
          <w:sz w:val="32"/>
          <w:szCs w:val="32"/>
        </w:rPr>
        <w:t>合作逐步上升到由政府强力推进，全社会共同自觉参与的高度，成为科技创新资源加速向望花流动的主渠道。</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lang w:val="en-US" w:eastAsia="zh-CN"/>
        </w:rPr>
        <w:t xml:space="preserve"> </w:t>
      </w:r>
      <w:r>
        <w:rPr>
          <w:rFonts w:hint="eastAsia" w:ascii="仿宋_GB2312" w:eastAsia="仿宋_GB2312"/>
          <w:b/>
          <w:bCs/>
          <w:sz w:val="32"/>
          <w:szCs w:val="32"/>
        </w:rPr>
        <w:t>着力提升区域创新能力。</w:t>
      </w:r>
      <w:r>
        <w:rPr>
          <w:rFonts w:hint="eastAsia" w:ascii="仿宋_GB2312" w:eastAsia="仿宋_GB2312"/>
          <w:sz w:val="32"/>
          <w:szCs w:val="32"/>
        </w:rPr>
        <w:t>在物联网、新材料、新能源、生物等领域，通过企校合作，攻克一批技术瓶颈和技术难点，掌握一批关键核心技术，培育一批具有较强竞争力的高新技术产品。通过政产学研</w:t>
      </w:r>
      <w:r>
        <w:rPr>
          <w:rFonts w:hint="eastAsia" w:ascii="仿宋_GB2312" w:eastAsia="仿宋_GB2312"/>
          <w:sz w:val="32"/>
          <w:szCs w:val="32"/>
          <w:lang w:eastAsia="zh-CN"/>
        </w:rPr>
        <w:t>金</w:t>
      </w:r>
      <w:r>
        <w:rPr>
          <w:rFonts w:hint="eastAsia" w:ascii="仿宋_GB2312" w:eastAsia="仿宋_GB2312"/>
          <w:sz w:val="32"/>
          <w:szCs w:val="32"/>
        </w:rPr>
        <w:t>合作，在突破重大技术瓶颈，掌握核心技术，引领高新技术发展和集聚高新技术产业集群，打造完整产业链等方面发挥积极的引领和支撑作用。</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rPr>
        <w:t>完善政产学研</w:t>
      </w:r>
      <w:r>
        <w:rPr>
          <w:rFonts w:hint="eastAsia" w:ascii="仿宋_GB2312" w:eastAsia="仿宋_GB2312"/>
          <w:b/>
          <w:bCs/>
          <w:sz w:val="32"/>
          <w:szCs w:val="32"/>
          <w:lang w:eastAsia="zh-CN"/>
        </w:rPr>
        <w:t>金</w:t>
      </w:r>
      <w:r>
        <w:rPr>
          <w:rFonts w:hint="eastAsia" w:ascii="仿宋_GB2312" w:eastAsia="仿宋_GB2312"/>
          <w:b/>
          <w:bCs/>
          <w:sz w:val="32"/>
          <w:szCs w:val="32"/>
        </w:rPr>
        <w:t>联盟运行机制。</w:t>
      </w:r>
      <w:r>
        <w:rPr>
          <w:rFonts w:hint="eastAsia" w:ascii="仿宋_GB2312" w:eastAsia="仿宋_GB2312"/>
          <w:sz w:val="32"/>
          <w:szCs w:val="32"/>
        </w:rPr>
        <w:t>制定和完善各项制度、运行机制，构建上下衔接、相对完善的政策体系，为科技创新资源落地提供良好的政策环境。大力发展科技创新创业创意载体，推动中小微企业园、新材料研发基地、抚顺众创电子商务产业基地等高质量创新载体，为承接科研机构科技成果转化提供优质高效的软硬件配套服务。引导全区各类企业参与政产学研</w:t>
      </w:r>
      <w:r>
        <w:rPr>
          <w:rFonts w:hint="eastAsia" w:ascii="仿宋_GB2312" w:eastAsia="仿宋_GB2312"/>
          <w:sz w:val="32"/>
          <w:szCs w:val="32"/>
          <w:lang w:eastAsia="zh-CN"/>
        </w:rPr>
        <w:t>金</w:t>
      </w:r>
      <w:r>
        <w:rPr>
          <w:rFonts w:hint="eastAsia" w:ascii="仿宋_GB2312" w:eastAsia="仿宋_GB2312"/>
          <w:sz w:val="32"/>
          <w:szCs w:val="32"/>
        </w:rPr>
        <w:t>合作，推动企业转型升级，提升企业核心竞争力。</w:t>
      </w:r>
    </w:p>
    <w:p>
      <w:pPr>
        <w:pageBreakBefore w:val="0"/>
        <w:kinsoku/>
        <w:wordWrap/>
        <w:overflowPunct w:val="0"/>
        <w:topLinePunct w:val="0"/>
        <w:bidi w:val="0"/>
        <w:ind w:right="0" w:rightChars="0" w:firstLine="640" w:firstLineChars="200"/>
        <w:rPr>
          <w:rFonts w:hint="eastAsia" w:ascii="仿宋_GB2312" w:eastAsia="仿宋_GB2312"/>
          <w:sz w:val="32"/>
          <w:szCs w:val="32"/>
        </w:rPr>
      </w:pPr>
      <w:r>
        <w:rPr>
          <w:rFonts w:hint="eastAsia" w:ascii="仿宋_GB2312" w:eastAsia="仿宋_GB2312"/>
          <w:b/>
          <w:bCs/>
          <w:sz w:val="32"/>
          <w:szCs w:val="32"/>
        </w:rPr>
        <w:t>提升政产学研</w:t>
      </w:r>
      <w:r>
        <w:rPr>
          <w:rFonts w:hint="eastAsia" w:ascii="仿宋_GB2312" w:eastAsia="仿宋_GB2312"/>
          <w:b/>
          <w:bCs/>
          <w:sz w:val="32"/>
          <w:szCs w:val="32"/>
          <w:lang w:eastAsia="zh-CN"/>
        </w:rPr>
        <w:t>金</w:t>
      </w:r>
      <w:r>
        <w:rPr>
          <w:rFonts w:hint="eastAsia" w:ascii="仿宋_GB2312" w:eastAsia="仿宋_GB2312"/>
          <w:b/>
          <w:bCs/>
          <w:sz w:val="32"/>
          <w:szCs w:val="32"/>
        </w:rPr>
        <w:t>联盟效能。</w:t>
      </w:r>
      <w:r>
        <w:rPr>
          <w:rFonts w:hint="eastAsia" w:ascii="仿宋_GB2312" w:eastAsia="仿宋_GB2312"/>
          <w:sz w:val="32"/>
          <w:szCs w:val="32"/>
        </w:rPr>
        <w:t>加强政府对全区政产学研</w:t>
      </w:r>
      <w:r>
        <w:rPr>
          <w:rFonts w:hint="eastAsia" w:ascii="仿宋_GB2312" w:eastAsia="仿宋_GB2312"/>
          <w:sz w:val="32"/>
          <w:szCs w:val="32"/>
          <w:lang w:eastAsia="zh-CN"/>
        </w:rPr>
        <w:t>金</w:t>
      </w:r>
      <w:r>
        <w:rPr>
          <w:rFonts w:hint="eastAsia" w:ascii="仿宋_GB2312" w:eastAsia="仿宋_GB2312"/>
          <w:sz w:val="32"/>
          <w:szCs w:val="32"/>
        </w:rPr>
        <w:t>合作工作的领导，设立建设专项资金，支持重大产学研</w:t>
      </w:r>
      <w:r>
        <w:rPr>
          <w:rFonts w:hint="eastAsia" w:ascii="仿宋_GB2312" w:eastAsia="仿宋_GB2312"/>
          <w:sz w:val="32"/>
          <w:szCs w:val="32"/>
          <w:lang w:eastAsia="zh-CN"/>
        </w:rPr>
        <w:t>金</w:t>
      </w:r>
      <w:r>
        <w:rPr>
          <w:rFonts w:hint="eastAsia" w:ascii="仿宋_GB2312" w:eastAsia="仿宋_GB2312"/>
          <w:sz w:val="32"/>
          <w:szCs w:val="32"/>
        </w:rPr>
        <w:t>合作项目。精心组织企业参加各类科技交流会和交易会，主动牵线搭桥，组织冶金新材料、有色金属等行业到国内外寻求对接合作。争取与部分科研院所建立虚拟科技研究开发中心，争取引进冶材深加工、有色金属类研发机构或科技中介组织来我区设立技术服务窗口。到2020年，联盟专家团队达到200人，全区企业与高校科研机构合作项目累计达到120项。</w:t>
      </w:r>
    </w:p>
    <w:p>
      <w:pPr>
        <w:pageBreakBefore w:val="0"/>
        <w:kinsoku/>
        <w:wordWrap/>
        <w:overflowPunct w:val="0"/>
        <w:topLinePunct w:val="0"/>
        <w:bidi w:val="0"/>
        <w:ind w:right="0" w:rightChars="0" w:firstLine="640" w:firstLineChars="200"/>
        <w:rPr>
          <w:rFonts w:hint="eastAsia" w:ascii="仿宋_GB2312" w:eastAsia="仿宋_GB2312"/>
          <w:sz w:val="32"/>
          <w:szCs w:val="32"/>
        </w:rPr>
      </w:pPr>
      <w:r>
        <w:rPr>
          <w:rFonts w:hint="eastAsia" w:ascii="仿宋_GB2312" w:eastAsia="仿宋_GB2312"/>
          <w:b/>
          <w:bCs/>
          <w:sz w:val="32"/>
          <w:szCs w:val="32"/>
          <w:lang w:val="en-US" w:eastAsia="zh-CN"/>
        </w:rPr>
        <w:t>创建望花地区科技服务中心。</w:t>
      </w:r>
      <w:r>
        <w:rPr>
          <w:rFonts w:hint="eastAsia" w:ascii="仿宋_GB2312" w:eastAsia="仿宋_GB2312"/>
          <w:sz w:val="32"/>
          <w:szCs w:val="32"/>
          <w:lang w:val="en-US" w:eastAsia="zh-CN"/>
        </w:rPr>
        <w:t>深度整合科技资源，充分利用石化大学科研实力和油研南迁腾空资源，组合大学和煤研新开发建设的地产项目；融合望花经济开发区现有资源，捆绑生产力促进中心、新材料研发基地、科技园区管委会、政产学研</w:t>
      </w:r>
      <w:r>
        <w:rPr>
          <w:rFonts w:hint="eastAsia" w:ascii="仿宋_GB2312" w:eastAsia="仿宋_GB2312"/>
          <w:sz w:val="32"/>
          <w:szCs w:val="32"/>
          <w:lang w:eastAsia="zh-CN"/>
        </w:rPr>
        <w:t>金</w:t>
      </w:r>
      <w:r>
        <w:rPr>
          <w:rFonts w:hint="eastAsia" w:ascii="仿宋_GB2312" w:eastAsia="仿宋_GB2312"/>
          <w:sz w:val="32"/>
          <w:szCs w:val="32"/>
          <w:lang w:val="en-US" w:eastAsia="zh-CN"/>
        </w:rPr>
        <w:t>联盟以及驻区各单位业已建成的科技服务机构和平台，创建望花地区综合性科技服务平台。</w:t>
      </w:r>
    </w:p>
    <w:p>
      <w:pPr>
        <w:pageBreakBefore w:val="0"/>
        <w:kinsoku/>
        <w:wordWrap/>
        <w:overflowPunct w:val="0"/>
        <w:topLinePunct w:val="0"/>
        <w:bidi w:val="0"/>
        <w:ind w:right="0" w:rightChars="0"/>
        <w:rPr>
          <w:rFonts w:hint="eastAsia" w:ascii="仿宋_GB2312" w:eastAsia="仿宋_GB2312"/>
          <w:sz w:val="24"/>
          <w:szCs w:val="24"/>
        </w:rPr>
      </w:pPr>
    </w:p>
    <w:p>
      <w:pPr>
        <w:pStyle w:val="3"/>
        <w:keepNext/>
        <w:keepLines/>
        <w:pageBreakBefore w:val="0"/>
        <w:widowControl w:val="0"/>
        <w:kinsoku/>
        <w:wordWrap/>
        <w:overflowPunct/>
        <w:topLinePunct w:val="0"/>
        <w:autoSpaceDE/>
        <w:autoSpaceDN/>
        <w:bidi w:val="0"/>
        <w:adjustRightInd/>
        <w:snapToGrid/>
        <w:spacing w:before="260" w:beforeLines="0" w:after="260" w:afterLines="0" w:line="240" w:lineRule="exact"/>
        <w:ind w:left="0" w:leftChars="0" w:right="0" w:rightChars="0" w:firstLine="0" w:firstLineChars="0"/>
        <w:jc w:val="center"/>
        <w:textAlignment w:val="auto"/>
        <w:outlineLvl w:val="1"/>
        <w:rPr>
          <w:rFonts w:hint="eastAsia"/>
        </w:rPr>
      </w:pPr>
      <w:bookmarkStart w:id="16" w:name="_Toc1906"/>
      <w:r>
        <w:rPr>
          <w:rFonts w:hint="eastAsia"/>
        </w:rPr>
        <w:t>第八节　积极扩大对外开放</w:t>
      </w:r>
      <w:bookmarkEnd w:id="16"/>
    </w:p>
    <w:p>
      <w:pPr>
        <w:pageBreakBefore w:val="0"/>
        <w:kinsoku/>
        <w:wordWrap/>
        <w:overflowPunct w:val="0"/>
        <w:topLinePunct w:val="0"/>
        <w:bidi w:val="0"/>
        <w:ind w:right="0" w:rightChars="0"/>
        <w:rPr>
          <w:rFonts w:hint="eastAsia" w:ascii="仿宋_GB2312" w:eastAsia="仿宋_GB2312"/>
          <w:sz w:val="24"/>
          <w:szCs w:val="24"/>
        </w:rPr>
      </w:pP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积极主动融入“一带一路”战略和沈阳经济圈发展，强化产业分工协作，扩大合作层次和范围。到2020年，实现与沈阳多极发展、多点支撑的深度融合、差异化发展格局。</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rPr>
        <w:t>全域加快对外开放步伐。</w:t>
      </w:r>
      <w:r>
        <w:rPr>
          <w:rFonts w:hint="eastAsia" w:ascii="仿宋_GB2312" w:eastAsia="仿宋_GB2312"/>
          <w:sz w:val="32"/>
          <w:szCs w:val="32"/>
        </w:rPr>
        <w:t>着力构建全方位、宽领域发展新格局，加快实施“走出去”战略，按照市场导向和企业自主决策原则，引导各类所有制企业积极有序融入国家“一带一路”、新一轮东北振兴和京津冀协同发展战略。全力支持抚顺特钢、抚顺新钢铁</w:t>
      </w:r>
      <w:r>
        <w:rPr>
          <w:rFonts w:hint="eastAsia" w:ascii="仿宋_GB2312" w:eastAsia="仿宋_GB2312"/>
          <w:sz w:val="32"/>
          <w:szCs w:val="32"/>
          <w:lang w:eastAsia="zh-CN"/>
        </w:rPr>
        <w:t>、永昌特钢</w:t>
      </w:r>
      <w:r>
        <w:rPr>
          <w:rFonts w:hint="eastAsia" w:ascii="仿宋_GB2312" w:eastAsia="仿宋_GB2312"/>
          <w:sz w:val="32"/>
          <w:szCs w:val="32"/>
        </w:rPr>
        <w:t>等企业创新发展，提高产品质量，更好地利用国内国际两个市场、两种资源，努力拓展国际市场，加强出口基地建设，增强国际竞争力，实现我区对外开放的新突破。</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rPr>
        <w:t>积极融入沈阳经济圈。</w:t>
      </w:r>
      <w:r>
        <w:rPr>
          <w:rFonts w:hint="eastAsia" w:ascii="仿宋_GB2312" w:eastAsia="仿宋_GB2312"/>
          <w:sz w:val="32"/>
          <w:szCs w:val="32"/>
        </w:rPr>
        <w:t>借助沈阳经济区的连接、聚合、扩散能力，促进在现代物流、金融商贸、中介咨询、电子商务、装备制造等领域的深度合作，形成推动传统产业转型升级，培育战略性新兴产业的动力源和孵化器。积极发展外包服务，打造集园区基础服务、投融资服务、行业共性服务、第三方社会化服务、公共技术服务、人力资源服务为一体的服务外包发展平台；以服务外包产业园为产业发展载体，打造机械工业技术服务基地、数据处理与服务基地、电子商务服务外包配套基地、文化创意服务基地、物流服务基地和商务服务基地。到“十三五”末期，力争建成总量适度、功能优化的沈抚服务外包产业服务体系。</w:t>
      </w:r>
    </w:p>
    <w:p>
      <w:pPr>
        <w:pageBreakBefore w:val="0"/>
        <w:kinsoku/>
        <w:wordWrap/>
        <w:overflowPunct w:val="0"/>
        <w:topLinePunct w:val="0"/>
        <w:bidi w:val="0"/>
        <w:ind w:right="0" w:rightChars="0" w:firstLine="640" w:firstLineChars="200"/>
        <w:rPr>
          <w:rFonts w:hint="eastAsia" w:ascii="仿宋_GB2312" w:eastAsia="仿宋_GB2312"/>
          <w:sz w:val="32"/>
          <w:szCs w:val="32"/>
        </w:rPr>
      </w:pPr>
      <w:r>
        <w:rPr>
          <w:rFonts w:hint="eastAsia" w:ascii="仿宋_GB2312" w:eastAsia="仿宋_GB2312"/>
          <w:b/>
          <w:bCs/>
          <w:sz w:val="32"/>
          <w:szCs w:val="32"/>
        </w:rPr>
        <w:t>支持企业走出去。</w:t>
      </w:r>
      <w:r>
        <w:rPr>
          <w:rFonts w:hint="eastAsia" w:ascii="仿宋_GB2312" w:eastAsia="仿宋_GB2312"/>
          <w:sz w:val="32"/>
          <w:szCs w:val="32"/>
        </w:rPr>
        <w:t>按照着眼长远，总体布局，重点突破，分步实施的原则，积极稳妥推进优势产业走出去、技术标准带出去，加快产业链条延伸，提升产业附加值。鼓励具有知识产权和较高技术水平的优势产业走出去。引导钢铁等行业有序转移产能。扩大农业、科技对外合作。推进能源和汽车领域合作。支持企业开展海外并购和引进先进技术。支持企业建设境外经贸合作区和产业园区，通过产业合作培育一批具有国际竞争力的跨国企业。</w:t>
      </w:r>
    </w:p>
    <w:tbl>
      <w:tblPr>
        <w:tblStyle w:val="12"/>
        <w:tblW w:w="88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trPr>
        <w:tc>
          <w:tcPr>
            <w:tcW w:w="8820" w:type="dxa"/>
            <w:vAlign w:val="center"/>
          </w:tcPr>
          <w:p>
            <w:pPr>
              <w:pageBreakBefore w:val="0"/>
              <w:kinsoku/>
              <w:wordWrap/>
              <w:overflowPunct w:val="0"/>
              <w:topLinePunct w:val="0"/>
              <w:bidi w:val="0"/>
              <w:snapToGrid w:val="0"/>
              <w:spacing w:line="360" w:lineRule="auto"/>
              <w:ind w:right="0" w:rightChars="0"/>
              <w:jc w:val="center"/>
              <w:rPr>
                <w:rFonts w:hint="eastAsia" w:ascii="宋体" w:hAnsi="宋体" w:eastAsia="宋体" w:cs="宋体"/>
                <w:sz w:val="21"/>
                <w:szCs w:val="21"/>
              </w:rPr>
            </w:pPr>
            <w:r>
              <w:rPr>
                <w:rFonts w:hint="eastAsia" w:ascii="宋体" w:hAnsi="宋体" w:eastAsia="宋体" w:cs="宋体"/>
                <w:b/>
                <w:bCs/>
                <w:sz w:val="28"/>
                <w:szCs w:val="28"/>
              </w:rPr>
              <w:t>专栏</w:t>
            </w:r>
            <w:r>
              <w:rPr>
                <w:rFonts w:hint="eastAsia" w:ascii="宋体" w:hAnsi="宋体" w:eastAsia="宋体" w:cs="宋体"/>
                <w:b/>
                <w:bCs/>
                <w:sz w:val="28"/>
                <w:szCs w:val="28"/>
                <w:lang w:eastAsia="zh-CN"/>
              </w:rPr>
              <w:t>三：</w:t>
            </w:r>
            <w:r>
              <w:rPr>
                <w:rFonts w:hint="eastAsia" w:ascii="宋体" w:hAnsi="宋体" w:eastAsia="宋体" w:cs="宋体"/>
                <w:b/>
                <w:bCs/>
                <w:sz w:val="28"/>
                <w:szCs w:val="28"/>
              </w:rPr>
              <w:t>走出去重点领域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1" w:hRule="atLeast"/>
        </w:trPr>
        <w:tc>
          <w:tcPr>
            <w:tcW w:w="8820" w:type="dxa"/>
            <w:vAlign w:val="top"/>
          </w:tcPr>
          <w:p>
            <w:pPr>
              <w:pageBreakBefore w:val="0"/>
              <w:kinsoku/>
              <w:wordWrap/>
              <w:overflowPunct w:val="0"/>
              <w:topLinePunct w:val="0"/>
              <w:bidi w:val="0"/>
              <w:snapToGrid w:val="0"/>
              <w:spacing w:line="360" w:lineRule="auto"/>
              <w:ind w:right="0" w:rightChars="0"/>
              <w:rPr>
                <w:rFonts w:hint="eastAsia" w:ascii="宋体" w:hAnsi="宋体" w:eastAsia="宋体" w:cs="宋体"/>
                <w:sz w:val="21"/>
                <w:szCs w:val="21"/>
              </w:rPr>
            </w:pPr>
            <w:r>
              <w:rPr>
                <w:rFonts w:hint="eastAsia" w:ascii="宋体" w:hAnsi="宋体" w:eastAsia="宋体" w:cs="宋体"/>
                <w:sz w:val="24"/>
                <w:szCs w:val="24"/>
              </w:rPr>
              <w:t>（1）建材行业；（2）钢铁、有色等行业；（3）轻纺</w:t>
            </w:r>
            <w:r>
              <w:rPr>
                <w:rFonts w:hint="eastAsia" w:ascii="宋体" w:hAnsi="宋体" w:cs="宋体"/>
                <w:sz w:val="24"/>
                <w:szCs w:val="24"/>
                <w:lang w:eastAsia="zh-CN"/>
              </w:rPr>
              <w:t>行业；（</w:t>
            </w:r>
            <w:r>
              <w:rPr>
                <w:rFonts w:hint="eastAsia" w:ascii="宋体" w:hAnsi="宋体" w:cs="宋体"/>
                <w:sz w:val="24"/>
                <w:szCs w:val="24"/>
                <w:lang w:val="en-US" w:eastAsia="zh-CN"/>
              </w:rPr>
              <w:t>4</w:t>
            </w:r>
            <w:r>
              <w:rPr>
                <w:rFonts w:hint="eastAsia" w:ascii="宋体" w:hAnsi="宋体" w:cs="宋体"/>
                <w:sz w:val="24"/>
                <w:szCs w:val="24"/>
                <w:lang w:eastAsia="zh-CN"/>
              </w:rPr>
              <w:t>）</w:t>
            </w:r>
            <w:r>
              <w:rPr>
                <w:rFonts w:hint="eastAsia" w:ascii="宋体" w:hAnsi="宋体" w:eastAsia="宋体" w:cs="宋体"/>
                <w:sz w:val="24"/>
                <w:szCs w:val="24"/>
              </w:rPr>
              <w:t>农产品加工行业；（</w:t>
            </w:r>
            <w:r>
              <w:rPr>
                <w:rFonts w:hint="eastAsia" w:ascii="宋体" w:hAnsi="宋体" w:cs="宋体"/>
                <w:sz w:val="24"/>
                <w:szCs w:val="24"/>
                <w:lang w:val="en-US" w:eastAsia="zh-CN"/>
              </w:rPr>
              <w:t>5</w:t>
            </w:r>
            <w:r>
              <w:rPr>
                <w:rFonts w:hint="eastAsia" w:ascii="宋体" w:hAnsi="宋体" w:eastAsia="宋体" w:cs="宋体"/>
                <w:sz w:val="24"/>
                <w:szCs w:val="24"/>
              </w:rPr>
              <w:t>）矿产品加工行业；（</w:t>
            </w:r>
            <w:r>
              <w:rPr>
                <w:rFonts w:hint="eastAsia" w:ascii="宋体" w:hAnsi="宋体" w:cs="宋体"/>
                <w:sz w:val="24"/>
                <w:szCs w:val="24"/>
                <w:lang w:val="en-US" w:eastAsia="zh-CN"/>
              </w:rPr>
              <w:t>6</w:t>
            </w:r>
            <w:r>
              <w:rPr>
                <w:rFonts w:hint="eastAsia" w:ascii="宋体" w:hAnsi="宋体" w:eastAsia="宋体" w:cs="宋体"/>
                <w:sz w:val="24"/>
                <w:szCs w:val="24"/>
              </w:rPr>
              <w:t>）矿山机械行业；（</w:t>
            </w:r>
            <w:r>
              <w:rPr>
                <w:rFonts w:hint="eastAsia" w:ascii="宋体" w:hAnsi="宋体" w:cs="宋体"/>
                <w:sz w:val="24"/>
                <w:szCs w:val="24"/>
                <w:lang w:val="en-US" w:eastAsia="zh-CN"/>
              </w:rPr>
              <w:t>7</w:t>
            </w:r>
            <w:r>
              <w:rPr>
                <w:rFonts w:hint="eastAsia" w:ascii="宋体" w:hAnsi="宋体" w:eastAsia="宋体" w:cs="宋体"/>
                <w:sz w:val="24"/>
                <w:szCs w:val="24"/>
              </w:rPr>
              <w:t>）保健食品行业；（</w:t>
            </w:r>
            <w:r>
              <w:rPr>
                <w:rFonts w:hint="eastAsia" w:ascii="宋体" w:hAnsi="宋体" w:cs="宋体"/>
                <w:sz w:val="24"/>
                <w:szCs w:val="24"/>
                <w:lang w:val="en-US" w:eastAsia="zh-CN"/>
              </w:rPr>
              <w:t>8</w:t>
            </w:r>
            <w:r>
              <w:rPr>
                <w:rFonts w:hint="eastAsia" w:ascii="宋体" w:hAnsi="宋体" w:eastAsia="宋体" w:cs="宋体"/>
                <w:sz w:val="24"/>
                <w:szCs w:val="24"/>
              </w:rPr>
              <w:t>）工艺蜡烛行业；（</w:t>
            </w:r>
            <w:r>
              <w:rPr>
                <w:rFonts w:hint="eastAsia" w:ascii="宋体" w:hAnsi="宋体" w:cs="宋体"/>
                <w:sz w:val="24"/>
                <w:szCs w:val="24"/>
                <w:lang w:val="en-US" w:eastAsia="zh-CN"/>
              </w:rPr>
              <w:t>9</w:t>
            </w:r>
            <w:r>
              <w:rPr>
                <w:rFonts w:hint="eastAsia" w:ascii="宋体" w:hAnsi="宋体" w:eastAsia="宋体" w:cs="宋体"/>
                <w:sz w:val="24"/>
                <w:szCs w:val="24"/>
              </w:rPr>
              <w:t>）五金工具行业；（</w:t>
            </w:r>
            <w:r>
              <w:rPr>
                <w:rFonts w:hint="eastAsia" w:ascii="宋体" w:hAnsi="宋体" w:cs="宋体"/>
                <w:sz w:val="24"/>
                <w:szCs w:val="24"/>
                <w:lang w:val="en-US" w:eastAsia="zh-CN"/>
              </w:rPr>
              <w:t>10</w:t>
            </w:r>
            <w:r>
              <w:rPr>
                <w:rFonts w:hint="eastAsia" w:ascii="宋体" w:hAnsi="宋体" w:eastAsia="宋体" w:cs="宋体"/>
                <w:sz w:val="24"/>
                <w:szCs w:val="24"/>
              </w:rPr>
              <w:t>）饰品行业。</w:t>
            </w:r>
          </w:p>
        </w:tc>
      </w:tr>
    </w:tbl>
    <w:p>
      <w:pPr>
        <w:pageBreakBefore w:val="0"/>
        <w:kinsoku/>
        <w:wordWrap/>
        <w:overflowPunct w:val="0"/>
        <w:topLinePunct w:val="0"/>
        <w:bidi w:val="0"/>
        <w:ind w:right="0" w:rightChars="0" w:firstLine="640" w:firstLineChars="200"/>
        <w:rPr>
          <w:rFonts w:hint="eastAsia" w:ascii="仿宋_GB2312" w:eastAsia="仿宋_GB2312"/>
          <w:sz w:val="32"/>
          <w:szCs w:val="32"/>
        </w:rPr>
      </w:pPr>
      <w:r>
        <w:rPr>
          <w:rFonts w:hint="eastAsia" w:ascii="仿宋_GB2312" w:eastAsia="仿宋_GB2312"/>
          <w:b/>
          <w:bCs/>
          <w:sz w:val="32"/>
          <w:szCs w:val="32"/>
        </w:rPr>
        <w:t>加大招商引资力度。</w:t>
      </w:r>
      <w:r>
        <w:rPr>
          <w:rFonts w:hint="eastAsia" w:ascii="仿宋_GB2312" w:eastAsia="仿宋_GB2312"/>
          <w:sz w:val="32"/>
          <w:szCs w:val="32"/>
        </w:rPr>
        <w:t>创新招商引资方式。发挥各类商会、协会作用，深入推进招商活动向系统、专业、务实转变。</w:t>
      </w:r>
      <w:r>
        <w:rPr>
          <w:rFonts w:hint="eastAsia" w:ascii="仿宋_GB2312" w:eastAsia="仿宋_GB2312"/>
          <w:sz w:val="32"/>
          <w:szCs w:val="32"/>
          <w:lang w:eastAsia="zh-CN"/>
        </w:rPr>
        <w:t>围绕</w:t>
      </w:r>
      <w:r>
        <w:rPr>
          <w:rFonts w:hint="eastAsia" w:ascii="仿宋_GB2312" w:eastAsia="仿宋_GB2312"/>
          <w:sz w:val="32"/>
          <w:szCs w:val="32"/>
        </w:rPr>
        <w:t>节能环保、新兴信息产业、生物产业、新能源、新能源汽车、高端装备制造业和新材料等包装策划项目，将其纳入重点招商项目库，通过投资拉动增量扩大，加快培育竞争新优势；引导更多社会资本，参与“十三五”时期的社会建设，按照“大项目带动、民营企业跟进、融合链接发展”的思路，开展“点对点”的招商工作。更加积极有效利用外资。吸引更多的内外资投向高端制造业、高新技术产业、现代服务业和现代农业。深化与世界500强企业和行业龙头企业的战略合作。分层次、有重点放开服务业领域外商准入限制，推进金融、教育、医疗、文化等服务业领域有序开放。</w:t>
      </w:r>
    </w:p>
    <w:p>
      <w:pPr>
        <w:pageBreakBefore w:val="0"/>
        <w:kinsoku/>
        <w:wordWrap/>
        <w:overflowPunct w:val="0"/>
        <w:topLinePunct w:val="0"/>
        <w:bidi w:val="0"/>
        <w:ind w:right="0" w:rightChars="0" w:firstLine="640" w:firstLineChars="200"/>
        <w:rPr>
          <w:rFonts w:hint="eastAsia" w:ascii="仿宋_GB2312" w:eastAsia="仿宋_GB2312"/>
          <w:sz w:val="24"/>
          <w:szCs w:val="24"/>
        </w:rPr>
      </w:pPr>
    </w:p>
    <w:p>
      <w:pPr>
        <w:pStyle w:val="2"/>
        <w:keepNext/>
        <w:keepLines/>
        <w:pageBreakBefore w:val="0"/>
        <w:widowControl w:val="0"/>
        <w:kinsoku/>
        <w:wordWrap/>
        <w:overflowPunct/>
        <w:topLinePunct w:val="0"/>
        <w:autoSpaceDE/>
        <w:autoSpaceDN/>
        <w:bidi w:val="0"/>
        <w:adjustRightInd/>
        <w:snapToGrid/>
        <w:spacing w:before="340" w:beforeLines="0" w:after="330" w:afterLines="0" w:line="240" w:lineRule="exact"/>
        <w:ind w:left="0" w:leftChars="0" w:right="0" w:rightChars="0" w:firstLine="0" w:firstLineChars="0"/>
        <w:jc w:val="center"/>
        <w:textAlignment w:val="auto"/>
        <w:outlineLvl w:val="0"/>
        <w:rPr>
          <w:rFonts w:hint="eastAsia"/>
        </w:rPr>
      </w:pPr>
      <w:bookmarkStart w:id="17" w:name="_Toc16534"/>
      <w:r>
        <w:rPr>
          <w:rFonts w:hint="eastAsia"/>
        </w:rPr>
        <w:t>第四章  推进空间协调优化　构建区域发展新格局</w:t>
      </w:r>
      <w:bookmarkEnd w:id="17"/>
    </w:p>
    <w:p>
      <w:pPr>
        <w:pageBreakBefore w:val="0"/>
        <w:kinsoku/>
        <w:wordWrap/>
        <w:overflowPunct w:val="0"/>
        <w:topLinePunct w:val="0"/>
        <w:bidi w:val="0"/>
        <w:ind w:right="0" w:rightChars="0"/>
        <w:rPr>
          <w:rFonts w:hint="eastAsia" w:ascii="仿宋_GB2312" w:eastAsia="仿宋_GB2312"/>
          <w:sz w:val="24"/>
          <w:szCs w:val="24"/>
        </w:rPr>
      </w:pPr>
    </w:p>
    <w:p>
      <w:pPr>
        <w:pageBreakBefore w:val="0"/>
        <w:kinsoku/>
        <w:wordWrap/>
        <w:overflowPunct w:val="0"/>
        <w:topLinePunct w:val="0"/>
        <w:bidi w:val="0"/>
        <w:ind w:right="0" w:rightChars="0" w:firstLine="640" w:firstLineChars="200"/>
        <w:rPr>
          <w:rFonts w:hint="eastAsia" w:ascii="仿宋_GB2312" w:eastAsia="仿宋_GB2312"/>
          <w:sz w:val="32"/>
          <w:szCs w:val="32"/>
        </w:rPr>
      </w:pPr>
      <w:r>
        <w:rPr>
          <w:rFonts w:hint="eastAsia" w:ascii="仿宋_GB2312" w:eastAsia="仿宋_GB2312"/>
          <w:sz w:val="32"/>
          <w:szCs w:val="32"/>
        </w:rPr>
        <w:t>根据老工业城区转型振兴发展目标，积极抢抓沈阳经济区和沈抚同城化建设的有利契机，围绕“一城两区”发展布局，科学定位区域功能。到2020年，构建起功能布局合理、生态环境友好、基础设施完善、优势充分发挥的区域发展新格局。</w:t>
      </w: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r>
        <w:drawing>
          <wp:anchor distT="0" distB="0" distL="114300" distR="114300" simplePos="0" relativeHeight="251659264" behindDoc="0" locked="0" layoutInCell="1" allowOverlap="1">
            <wp:simplePos x="0" y="0"/>
            <wp:positionH relativeFrom="column">
              <wp:posOffset>378460</wp:posOffset>
            </wp:positionH>
            <wp:positionV relativeFrom="paragraph">
              <wp:posOffset>-389255</wp:posOffset>
            </wp:positionV>
            <wp:extent cx="5582285" cy="8852535"/>
            <wp:effectExtent l="0" t="0" r="18415" b="5715"/>
            <wp:wrapNone/>
            <wp:docPr id="5" name="图片 5" descr="最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最新"/>
                    <pic:cNvPicPr>
                      <a:picLocks noChangeAspect="1"/>
                    </pic:cNvPicPr>
                  </pic:nvPicPr>
                  <pic:blipFill>
                    <a:blip r:embed="rId12"/>
                    <a:srcRect/>
                    <a:stretch>
                      <a:fillRect/>
                    </a:stretch>
                  </pic:blipFill>
                  <pic:spPr>
                    <a:xfrm>
                      <a:off x="0" y="0"/>
                      <a:ext cx="5582285" cy="8852535"/>
                    </a:xfrm>
                    <a:prstGeom prst="rect">
                      <a:avLst/>
                    </a:prstGeom>
                    <a:noFill/>
                    <a:ln w="9525">
                      <a:noFill/>
                      <a:miter/>
                    </a:ln>
                  </pic:spPr>
                </pic:pic>
              </a:graphicData>
            </a:graphic>
          </wp:anchor>
        </w:drawing>
      </w: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r>
        <w:pict>
          <v:shape id="_x0000_s1027" o:spid="_x0000_s1027" o:spt="136" type="#_x0000_t136" style="position:absolute;left:0pt;margin-left:-87.65pt;margin-top:96.75pt;height:15.75pt;width:189pt;rotation:-5898240f;z-index:251660288;mso-width-relative:page;mso-height-relative:page;" fillcolor="#000000" filled="t" coordsize="21600,21600">
            <v:path/>
            <v:fill on="t" focussize="0,0"/>
            <v:stroke/>
            <v:imagedata o:title=""/>
            <o:lock v:ext="edit"/>
            <v:textpath on="t" fitshape="t" fitpath="t" trim="t" xscale="f" string="望花区“一城两区”布局图" style="font-family:宋体;font-size:16pt;v-text-align:center;"/>
          </v:shape>
        </w:pict>
      </w: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Style w:val="3"/>
        <w:keepNext/>
        <w:keepLines/>
        <w:pageBreakBefore w:val="0"/>
        <w:widowControl w:val="0"/>
        <w:kinsoku/>
        <w:wordWrap/>
        <w:overflowPunct/>
        <w:topLinePunct w:val="0"/>
        <w:autoSpaceDE/>
        <w:autoSpaceDN/>
        <w:bidi w:val="0"/>
        <w:adjustRightInd/>
        <w:snapToGrid/>
        <w:spacing w:before="260" w:beforeLines="0" w:after="0" w:afterLines="0" w:line="240" w:lineRule="exact"/>
        <w:ind w:left="0" w:leftChars="0" w:right="0" w:rightChars="0" w:firstLine="0" w:firstLineChars="0"/>
        <w:jc w:val="center"/>
        <w:textAlignment w:val="auto"/>
        <w:outlineLvl w:val="1"/>
        <w:rPr>
          <w:rFonts w:hint="eastAsia" w:ascii="仿宋_GB2312" w:hAnsi="仿宋_GB2312" w:eastAsia="仿宋_GB2312" w:cs="仿宋_GB2312"/>
          <w:sz w:val="24"/>
          <w:szCs w:val="24"/>
        </w:rPr>
      </w:pPr>
    </w:p>
    <w:p>
      <w:pPr>
        <w:pStyle w:val="3"/>
        <w:keepNext/>
        <w:keepLines/>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center"/>
        <w:textAlignment w:val="auto"/>
        <w:outlineLvl w:val="1"/>
        <w:rPr>
          <w:rFonts w:hint="eastAsia"/>
        </w:rPr>
      </w:pPr>
      <w:bookmarkStart w:id="18" w:name="_Toc7400"/>
      <w:r>
        <w:rPr>
          <w:rFonts w:hint="eastAsia"/>
        </w:rPr>
        <w:t>第</w:t>
      </w:r>
      <w:r>
        <w:rPr>
          <w:rFonts w:hint="eastAsia"/>
          <w:lang w:eastAsia="zh-CN"/>
        </w:rPr>
        <w:t>一</w:t>
      </w:r>
      <w:r>
        <w:rPr>
          <w:rFonts w:hint="eastAsia"/>
        </w:rPr>
        <w:t>节  加快中部宜居美丽城区建设</w:t>
      </w:r>
      <w:bookmarkEnd w:id="18"/>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 w:hAnsi="仿宋" w:eastAsia="仿宋" w:cs="仿宋"/>
          <w:sz w:val="24"/>
          <w:szCs w:val="24"/>
        </w:rPr>
      </w:pP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坚持绿色发展、低碳发展,不断完善城区功能，实施生态保护，建设美丽望花</w:t>
      </w:r>
      <w:r>
        <w:rPr>
          <w:rFonts w:hint="eastAsia" w:ascii="仿宋_GB2312" w:eastAsia="仿宋_GB2312"/>
          <w:color w:val="auto"/>
          <w:sz w:val="32"/>
          <w:szCs w:val="32"/>
        </w:rPr>
        <w:t>。到2020年，人均住房面积</w:t>
      </w:r>
      <w:r>
        <w:rPr>
          <w:rFonts w:hint="eastAsia" w:ascii="仿宋_GB2312" w:eastAsia="仿宋_GB2312"/>
          <w:color w:val="auto"/>
          <w:sz w:val="32"/>
          <w:szCs w:val="32"/>
          <w:lang w:val="en-US" w:eastAsia="zh-CN"/>
        </w:rPr>
        <w:t>35</w:t>
      </w:r>
      <w:r>
        <w:rPr>
          <w:rFonts w:hint="eastAsia" w:ascii="仿宋_GB2312" w:eastAsia="仿宋_GB2312"/>
          <w:color w:val="auto"/>
          <w:sz w:val="32"/>
          <w:szCs w:val="32"/>
        </w:rPr>
        <w:t>平方米，人均绿地面积</w:t>
      </w:r>
      <w:r>
        <w:rPr>
          <w:rFonts w:hint="eastAsia" w:ascii="仿宋_GB2312" w:eastAsia="仿宋_GB2312"/>
          <w:color w:val="auto"/>
          <w:sz w:val="32"/>
          <w:szCs w:val="32"/>
          <w:lang w:val="en-US" w:eastAsia="zh-CN"/>
        </w:rPr>
        <w:t>7</w:t>
      </w:r>
      <w:r>
        <w:rPr>
          <w:rFonts w:hint="eastAsia" w:ascii="仿宋_GB2312" w:eastAsia="仿宋_GB2312"/>
          <w:color w:val="auto"/>
          <w:sz w:val="32"/>
          <w:szCs w:val="32"/>
        </w:rPr>
        <w:t>平方米，</w:t>
      </w:r>
      <w:r>
        <w:rPr>
          <w:rFonts w:hint="eastAsia" w:ascii="仿宋_GB2312" w:eastAsia="仿宋_GB2312"/>
          <w:sz w:val="32"/>
          <w:szCs w:val="32"/>
        </w:rPr>
        <w:t>建成基础设施完备、服务功能齐全、绿色文明整洁的宜居美丽城区。</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rPr>
        <w:t>推进城市更新改造。</w:t>
      </w:r>
      <w:r>
        <w:rPr>
          <w:rFonts w:hint="eastAsia" w:ascii="仿宋_GB2312" w:eastAsia="仿宋_GB2312"/>
          <w:sz w:val="32"/>
          <w:szCs w:val="32"/>
        </w:rPr>
        <w:t>以建设高品质人居环境为根本宗旨，从城市可持续发展的高度出发，注重改造与更新的高起点与高标准，追求更新速度与质量的统一。坚持功能提升，坚持以人为本的发展观，整治和改善旧城区道路和市政设施系统，使旧城区适应现代化城市交通和各项现代城市基础设施的需要。坚持以危旧房改造和城中村改造为抓手，推动城市</w:t>
      </w:r>
      <w:r>
        <w:rPr>
          <w:rFonts w:hint="eastAsia" w:ascii="仿宋_GB2312" w:eastAsia="仿宋_GB2312"/>
          <w:sz w:val="32"/>
          <w:szCs w:val="32"/>
          <w:lang w:eastAsia="zh-CN"/>
        </w:rPr>
        <w:t>居</w:t>
      </w:r>
      <w:r>
        <w:rPr>
          <w:rFonts w:hint="eastAsia" w:ascii="仿宋_GB2312" w:eastAsia="仿宋_GB2312"/>
          <w:sz w:val="32"/>
          <w:szCs w:val="32"/>
        </w:rPr>
        <w:t>住区更新。坚持文化延续性，提倡顺应城市肌理、保护城市历史文脉和社会网络的整体性更新改造。完善城市道路畅通、联系功能，形成“四横四纵”的道路交通格局。改造水电气供应系统，进一步完善自来水管网布局；积极推进集中供热，全面拆除燃煤小锅炉，加快实施供热改造工作；加快实施气化望花工程</w:t>
      </w:r>
      <w:r>
        <w:rPr>
          <w:rFonts w:hint="eastAsia" w:ascii="仿宋_GB2312" w:eastAsia="仿宋_GB2312"/>
          <w:sz w:val="32"/>
          <w:szCs w:val="32"/>
          <w:lang w:eastAsia="zh-CN"/>
        </w:rPr>
        <w:t>，到</w:t>
      </w:r>
      <w:r>
        <w:rPr>
          <w:rFonts w:hint="eastAsia" w:ascii="仿宋_GB2312" w:eastAsia="仿宋_GB2312"/>
          <w:sz w:val="32"/>
          <w:szCs w:val="32"/>
          <w:lang w:val="en-US" w:eastAsia="zh-CN"/>
        </w:rPr>
        <w:t>2018年我区燃气居民将全部使用天然气</w:t>
      </w:r>
      <w:r>
        <w:rPr>
          <w:rFonts w:hint="eastAsia" w:ascii="仿宋_GB2312" w:eastAsia="仿宋_GB2312"/>
          <w:sz w:val="32"/>
          <w:szCs w:val="32"/>
        </w:rPr>
        <w:t>；提升城市管理水平，改善城市人居环境。坚持资源整合，城市更新与城市产业结构调整、功能结构调整有机结合、相互促进；坚持城乡一体，实现城市更新与城市管理的有机统一。</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rPr>
        <w:t>加快棚户区改造。</w:t>
      </w:r>
      <w:r>
        <w:rPr>
          <w:rFonts w:hint="eastAsia" w:ascii="仿宋_GB2312" w:eastAsia="仿宋_GB2312"/>
          <w:color w:val="auto"/>
          <w:sz w:val="32"/>
          <w:szCs w:val="32"/>
        </w:rPr>
        <w:t>完成棚户区改造</w:t>
      </w:r>
      <w:r>
        <w:rPr>
          <w:rFonts w:hint="eastAsia" w:ascii="仿宋_GB2312" w:eastAsia="仿宋_GB2312"/>
          <w:color w:val="auto"/>
          <w:sz w:val="32"/>
          <w:szCs w:val="32"/>
          <w:lang w:val="en-US" w:eastAsia="zh-CN"/>
        </w:rPr>
        <w:t>4169</w:t>
      </w:r>
      <w:r>
        <w:rPr>
          <w:rFonts w:hint="eastAsia" w:ascii="仿宋_GB2312" w:eastAsia="仿宋_GB2312"/>
          <w:color w:val="auto"/>
          <w:sz w:val="32"/>
          <w:szCs w:val="32"/>
          <w:lang w:eastAsia="zh-CN"/>
        </w:rPr>
        <w:t>户</w:t>
      </w:r>
      <w:r>
        <w:rPr>
          <w:rFonts w:hint="eastAsia" w:ascii="仿宋_GB2312" w:eastAsia="仿宋_GB2312"/>
          <w:color w:val="auto"/>
          <w:sz w:val="32"/>
          <w:szCs w:val="32"/>
        </w:rPr>
        <w:t>，</w:t>
      </w:r>
      <w:r>
        <w:rPr>
          <w:rFonts w:hint="eastAsia" w:ascii="仿宋_GB2312" w:eastAsia="仿宋_GB2312"/>
          <w:color w:val="auto"/>
          <w:sz w:val="32"/>
          <w:szCs w:val="32"/>
          <w:lang w:eastAsia="zh-CN"/>
        </w:rPr>
        <w:t>到</w:t>
      </w:r>
      <w:r>
        <w:rPr>
          <w:rFonts w:hint="eastAsia" w:ascii="仿宋_GB2312" w:eastAsia="仿宋_GB2312"/>
          <w:sz w:val="32"/>
          <w:szCs w:val="32"/>
        </w:rPr>
        <w:t>2017年</w:t>
      </w:r>
      <w:r>
        <w:rPr>
          <w:rFonts w:hint="eastAsia" w:ascii="仿宋_GB2312" w:eastAsia="仿宋_GB2312"/>
          <w:sz w:val="32"/>
          <w:szCs w:val="32"/>
          <w:lang w:eastAsia="zh-CN"/>
        </w:rPr>
        <w:t>底</w:t>
      </w:r>
      <w:r>
        <w:rPr>
          <w:rFonts w:hint="eastAsia" w:ascii="仿宋_GB2312" w:eastAsia="仿宋_GB2312"/>
          <w:sz w:val="32"/>
          <w:szCs w:val="32"/>
        </w:rPr>
        <w:t>全面完成各类棚户区改造。实行实物安置和货币安置相结合，由棚户区居民自愿选择。要积极推行货币安置，通过提供政策优惠、规范操作流程、优化交易服务等方式，引导棚户区居民选择货币安置，自主购买商品住房。减少安置房建设规模，将存量商品房作为重要的安置房源，促进棚改与利用存量房的有效衔接。</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lang w:val="en-US" w:eastAsia="zh-CN"/>
        </w:rPr>
        <w:t xml:space="preserve"> </w:t>
      </w:r>
      <w:r>
        <w:rPr>
          <w:rFonts w:hint="eastAsia" w:ascii="仿宋_GB2312" w:eastAsia="仿宋_GB2312"/>
          <w:b/>
          <w:bCs/>
          <w:sz w:val="32"/>
          <w:szCs w:val="32"/>
        </w:rPr>
        <w:t>完善主体功能区域建设。</w:t>
      </w:r>
      <w:r>
        <w:rPr>
          <w:rFonts w:hint="eastAsia" w:ascii="仿宋_GB2312" w:eastAsia="仿宋_GB2312"/>
          <w:sz w:val="32"/>
          <w:szCs w:val="32"/>
        </w:rPr>
        <w:t>以浑河</w:t>
      </w:r>
      <w:r>
        <w:rPr>
          <w:rFonts w:hint="eastAsia" w:ascii="仿宋_GB2312" w:eastAsia="仿宋_GB2312"/>
          <w:sz w:val="32"/>
          <w:szCs w:val="32"/>
          <w:lang w:eastAsia="zh-CN"/>
        </w:rPr>
        <w:t>以</w:t>
      </w:r>
      <w:r>
        <w:rPr>
          <w:rFonts w:hint="eastAsia" w:ascii="仿宋_GB2312" w:eastAsia="仿宋_GB2312"/>
          <w:sz w:val="32"/>
          <w:szCs w:val="32"/>
        </w:rPr>
        <w:t>南、鞍山路</w:t>
      </w:r>
      <w:r>
        <w:rPr>
          <w:rFonts w:hint="eastAsia" w:ascii="仿宋_GB2312" w:eastAsia="仿宋_GB2312"/>
          <w:sz w:val="32"/>
          <w:szCs w:val="32"/>
          <w:lang w:eastAsia="zh-CN"/>
        </w:rPr>
        <w:t>以</w:t>
      </w:r>
      <w:r>
        <w:rPr>
          <w:rFonts w:hint="eastAsia" w:ascii="仿宋_GB2312" w:eastAsia="仿宋_GB2312"/>
          <w:sz w:val="32"/>
          <w:szCs w:val="32"/>
        </w:rPr>
        <w:t>北、古城河</w:t>
      </w:r>
      <w:r>
        <w:rPr>
          <w:rFonts w:hint="eastAsia" w:ascii="仿宋_GB2312" w:eastAsia="仿宋_GB2312"/>
          <w:sz w:val="32"/>
          <w:szCs w:val="32"/>
          <w:lang w:eastAsia="zh-CN"/>
        </w:rPr>
        <w:t>以</w:t>
      </w:r>
      <w:r>
        <w:rPr>
          <w:rFonts w:hint="eastAsia" w:ascii="仿宋_GB2312" w:eastAsia="仿宋_GB2312"/>
          <w:sz w:val="32"/>
          <w:szCs w:val="32"/>
        </w:rPr>
        <w:t>西、康平街</w:t>
      </w:r>
      <w:r>
        <w:rPr>
          <w:rFonts w:hint="eastAsia" w:ascii="仿宋_GB2312" w:eastAsia="仿宋_GB2312"/>
          <w:sz w:val="32"/>
          <w:szCs w:val="32"/>
          <w:lang w:eastAsia="zh-CN"/>
        </w:rPr>
        <w:t>以</w:t>
      </w:r>
      <w:r>
        <w:rPr>
          <w:rFonts w:hint="eastAsia" w:ascii="仿宋_GB2312" w:eastAsia="仿宋_GB2312"/>
          <w:sz w:val="32"/>
          <w:szCs w:val="32"/>
        </w:rPr>
        <w:t>东的8平方公里城区为核心，建设集商贸、居住、教育、购物、娱乐、休闲于一体的中心城区。强化城市空间综合整治，提升土地总体利用水平，以现代化城市标准完善路网、水电、气热、通信管廊等城市基础设施配套建设。通过建设标志性建筑物、重点商贸地产项目、文化设施与生态景观带，提升和展示中心城区新形象。</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rPr>
        <w:t>提升城市服务功能。</w:t>
      </w:r>
      <w:r>
        <w:rPr>
          <w:rFonts w:hint="eastAsia" w:ascii="仿宋_GB2312" w:eastAsia="仿宋_GB2312"/>
          <w:sz w:val="32"/>
          <w:szCs w:val="32"/>
        </w:rPr>
        <w:t>推动城市大型综合体差异化发展，引导消费新模式，建立商贸服务新业态，打造集休闲、娱乐、消费于一体的城市购物休闲中心。推进商贸、餐饮、住宿等传统商业企业“线上线下”融合发展，推广大众化餐饮、连锁等现代经营方式，支持老字号向规模化、规范化、品牌化发展。重点推进奥特莱商业广场、大商集团商贸大厦、今日装饰城、红事会、金丰园等连锁企业规模化、品牌化发展，着力建设以大商集团新玛特、华润万家、中嘉商业广场等为代表的大型购物中心，鼓励引进一批特色专营店、品牌专卖店和精品店，吸引更多国内外高端商户、高端品牌入驻、集聚。促进城乡“半小时经济圈”发展，提升城乡消费能力。</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lang w:val="en-US" w:eastAsia="zh-CN"/>
        </w:rPr>
        <w:t xml:space="preserve"> </w:t>
      </w:r>
      <w:r>
        <w:rPr>
          <w:rFonts w:hint="eastAsia" w:ascii="仿宋_GB2312" w:eastAsia="仿宋_GB2312"/>
          <w:b/>
          <w:bCs/>
          <w:sz w:val="32"/>
          <w:szCs w:val="32"/>
        </w:rPr>
        <w:t>优化生态环境质量。</w:t>
      </w:r>
      <w:r>
        <w:rPr>
          <w:rFonts w:hint="eastAsia" w:ascii="仿宋_GB2312" w:eastAsia="仿宋_GB2312"/>
          <w:sz w:val="32"/>
          <w:szCs w:val="32"/>
        </w:rPr>
        <w:t>遵循自然规律的可持续发展，坚持“绿水青山就是金山银山”的发展理念，坚持“经济要上台阶，生态文明也要上台阶”的发展理念，坚持“生产发展、生活富裕、生态良好”的发展理念。以保障人体健康为核心、改善</w:t>
      </w:r>
      <w:r>
        <w:rPr>
          <w:rFonts w:hint="eastAsia" w:ascii="仿宋_GB2312" w:eastAsia="仿宋_GB2312"/>
          <w:sz w:val="32"/>
          <w:szCs w:val="32"/>
          <w:lang w:eastAsia="zh-CN"/>
        </w:rPr>
        <w:t>环</w:t>
      </w:r>
      <w:r>
        <w:rPr>
          <w:rFonts w:hint="eastAsia" w:ascii="仿宋_GB2312" w:eastAsia="仿宋_GB2312"/>
          <w:sz w:val="32"/>
          <w:szCs w:val="32"/>
        </w:rPr>
        <w:t>境质量为目标、防控</w:t>
      </w:r>
      <w:r>
        <w:rPr>
          <w:rFonts w:hint="eastAsia" w:ascii="仿宋_GB2312" w:eastAsia="仿宋_GB2312"/>
          <w:sz w:val="32"/>
          <w:szCs w:val="32"/>
          <w:lang w:eastAsia="zh-CN"/>
        </w:rPr>
        <w:t>环</w:t>
      </w:r>
      <w:r>
        <w:rPr>
          <w:rFonts w:hint="eastAsia" w:ascii="仿宋_GB2312" w:eastAsia="仿宋_GB2312"/>
          <w:sz w:val="32"/>
          <w:szCs w:val="32"/>
        </w:rPr>
        <w:t>境风险为基线，突出大气、水、土壤三大重点领域</w:t>
      </w:r>
      <w:r>
        <w:rPr>
          <w:rFonts w:hint="eastAsia" w:ascii="仿宋_GB2312" w:eastAsia="仿宋_GB2312"/>
          <w:sz w:val="32"/>
          <w:szCs w:val="32"/>
          <w:lang w:eastAsia="zh-CN"/>
        </w:rPr>
        <w:t>环</w:t>
      </w:r>
      <w:r>
        <w:rPr>
          <w:rFonts w:hint="eastAsia" w:ascii="仿宋_GB2312" w:eastAsia="仿宋_GB2312"/>
          <w:sz w:val="32"/>
          <w:szCs w:val="32"/>
        </w:rPr>
        <w:t>境治理，实施防治行动计划。到2020年，城镇污水集中处理率达到</w:t>
      </w:r>
      <w:r>
        <w:rPr>
          <w:rFonts w:hint="eastAsia" w:ascii="仿宋_GB2312" w:eastAsia="仿宋_GB2312"/>
          <w:sz w:val="32"/>
          <w:szCs w:val="32"/>
          <w:lang w:val="en-US" w:eastAsia="zh-CN"/>
        </w:rPr>
        <w:t>73.9</w:t>
      </w:r>
      <w:r>
        <w:rPr>
          <w:rFonts w:hint="eastAsia" w:ascii="仿宋_GB2312" w:eastAsia="仿宋_GB2312"/>
          <w:sz w:val="32"/>
          <w:szCs w:val="32"/>
        </w:rPr>
        <w:t>%，危险废物基本处置利用，医疗废物全部实现无害化处理，城市生活垃圾无害化处理率保持“十二五”末的100%的水平</w:t>
      </w:r>
      <w:r>
        <w:rPr>
          <w:rFonts w:hint="eastAsia" w:ascii="仿宋_GB2312" w:eastAsia="仿宋_GB2312"/>
          <w:sz w:val="32"/>
          <w:szCs w:val="32"/>
          <w:shd w:val="clear" w:color="auto" w:fill="auto"/>
        </w:rPr>
        <w:t>。</w:t>
      </w:r>
      <w:r>
        <w:rPr>
          <w:rFonts w:hint="eastAsia" w:ascii="仿宋_GB2312" w:eastAsia="仿宋_GB2312"/>
          <w:sz w:val="32"/>
          <w:szCs w:val="32"/>
        </w:rPr>
        <w:t>继续实施蓝天工程,加大治气治霾力度，开展污染综合治理，强化节能减排，淘汰落后产能，严格控制烟（粉）尘、水和农村面源污染。到“十三五”末期，10吨以下燃煤锅炉全面拆除，全年环境空气质量优良天数达标</w:t>
      </w:r>
      <w:r>
        <w:rPr>
          <w:rFonts w:hint="eastAsia" w:ascii="仿宋_GB2312" w:eastAsia="仿宋_GB2312"/>
          <w:sz w:val="32"/>
          <w:szCs w:val="32"/>
          <w:lang w:val="en-US" w:eastAsia="zh-CN"/>
        </w:rPr>
        <w:t>70</w:t>
      </w:r>
      <w:r>
        <w:rPr>
          <w:rFonts w:hint="eastAsia" w:ascii="仿宋_GB2312" w:eastAsia="仿宋_GB2312"/>
          <w:sz w:val="32"/>
          <w:szCs w:val="32"/>
        </w:rPr>
        <w:t>%以上，</w:t>
      </w:r>
      <w:r>
        <w:rPr>
          <w:rFonts w:hint="eastAsia" w:ascii="仿宋_GB2312" w:eastAsia="仿宋_GB2312"/>
          <w:sz w:val="32"/>
          <w:szCs w:val="32"/>
          <w:lang w:eastAsia="zh-CN"/>
        </w:rPr>
        <w:t>二氧化碳</w:t>
      </w:r>
      <w:r>
        <w:rPr>
          <w:rFonts w:hint="eastAsia" w:ascii="仿宋_GB2312" w:eastAsia="仿宋_GB2312"/>
          <w:sz w:val="32"/>
          <w:szCs w:val="32"/>
        </w:rPr>
        <w:t>和</w:t>
      </w:r>
      <w:r>
        <w:rPr>
          <w:rFonts w:hint="eastAsia" w:ascii="仿宋_GB2312" w:eastAsia="仿宋_GB2312"/>
          <w:sz w:val="32"/>
          <w:szCs w:val="32"/>
          <w:lang w:eastAsia="zh-CN"/>
        </w:rPr>
        <w:t>二氧化硫</w:t>
      </w:r>
      <w:r>
        <w:rPr>
          <w:rFonts w:hint="eastAsia" w:ascii="仿宋_GB2312" w:eastAsia="仿宋_GB2312"/>
          <w:sz w:val="32"/>
          <w:szCs w:val="32"/>
        </w:rPr>
        <w:t>排放量达到国家控制标准，有效改善空气质量。继续实施碧水工程，加强地下水污染防控和水源保护,推进农村生活垃圾无害化处理，保障饮水安全。到“十三五”末期，李石河、古城子河望花段出水断面达到四类标准，企业用水回用率达到80%以上。实施建设用地污染地块分类管理，建立新增建设用地土壤环境强制调查制度和流转土地环境风险评估制度。</w:t>
      </w: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Style w:val="3"/>
        <w:pageBreakBefore w:val="0"/>
        <w:widowControl w:val="0"/>
        <w:kinsoku/>
        <w:wordWrap/>
        <w:topLinePunct w:val="0"/>
        <w:autoSpaceDE/>
        <w:autoSpaceDN/>
        <w:bidi w:val="0"/>
        <w:adjustRightInd/>
        <w:snapToGrid/>
        <w:spacing w:line="240" w:lineRule="exact"/>
        <w:ind w:left="0" w:leftChars="0" w:right="0" w:rightChars="0" w:firstLine="0" w:firstLineChars="0"/>
        <w:textAlignment w:val="auto"/>
        <w:rPr>
          <w:rFonts w:hint="eastAsia"/>
        </w:rPr>
      </w:pPr>
      <w:bookmarkStart w:id="19" w:name="_Toc18790"/>
      <w:r>
        <w:rPr>
          <w:rFonts w:hint="eastAsia"/>
        </w:rPr>
        <w:t>第</w:t>
      </w:r>
      <w:r>
        <w:rPr>
          <w:rFonts w:hint="eastAsia"/>
          <w:lang w:eastAsia="zh-CN"/>
        </w:rPr>
        <w:t>二</w:t>
      </w:r>
      <w:r>
        <w:rPr>
          <w:rFonts w:hint="eastAsia"/>
        </w:rPr>
        <w:t>节　加快东部望花经济开发区建设</w:t>
      </w:r>
      <w:bookmarkEnd w:id="19"/>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kinsoku/>
        <w:wordWrap/>
        <w:overflowPunct w:val="0"/>
        <w:topLinePunct w:val="0"/>
        <w:bidi w:val="0"/>
        <w:ind w:right="0" w:rightChars="0" w:firstLine="640" w:firstLineChars="200"/>
        <w:rPr>
          <w:rFonts w:hint="eastAsia" w:ascii="仿宋_GB2312" w:eastAsia="仿宋_GB2312"/>
          <w:sz w:val="32"/>
          <w:szCs w:val="32"/>
        </w:rPr>
      </w:pPr>
      <w:r>
        <w:rPr>
          <w:rFonts w:hint="eastAsia" w:ascii="仿宋_GB2312" w:eastAsia="仿宋_GB2312"/>
          <w:sz w:val="32"/>
          <w:szCs w:val="32"/>
        </w:rPr>
        <w:t>按照“依托老工业，打造新产业”的思路，充分利用本地现有的产业基础和科研资源，抓住老工业基地振兴和优势资源转变的战略契机，以发展产业集群为主攻方向，促进纸制品、铝制品、有色金属深加工产业集群建设，成为转型振兴发展的核心区。到2020年，累计引进重点项目30个，具有重大牵动作用的项目10个以上，累计完成项目投资220亿元。</w:t>
      </w:r>
    </w:p>
    <w:p>
      <w:pPr>
        <w:pageBreakBefore w:val="0"/>
        <w:kinsoku/>
        <w:wordWrap/>
        <w:overflowPunct w:val="0"/>
        <w:topLinePunct w:val="0"/>
        <w:bidi w:val="0"/>
        <w:ind w:right="0" w:rightChars="0"/>
        <w:jc w:val="center"/>
        <w:rPr>
          <w:rFonts w:hint="eastAsia" w:ascii="仿宋_GB2312" w:eastAsia="仿宋_GB2312"/>
          <w:b/>
          <w:bCs/>
          <w:sz w:val="32"/>
          <w:szCs w:val="32"/>
        </w:rPr>
      </w:pPr>
      <w:r>
        <w:rPr>
          <w:rFonts w:hint="eastAsia" w:ascii="仿宋_GB2312" w:eastAsia="仿宋_GB2312"/>
          <w:b/>
          <w:bCs/>
          <w:sz w:val="32"/>
          <w:szCs w:val="32"/>
          <w:lang w:eastAsia="zh-CN"/>
        </w:rPr>
        <w:t>望花经济开发区产业布局图</w:t>
      </w:r>
      <w:r>
        <w:rPr>
          <w:rFonts w:hint="eastAsia" w:ascii="仿宋_GB2312" w:eastAsia="仿宋_GB2312"/>
          <w:b/>
          <w:bCs/>
          <w:sz w:val="32"/>
          <w:szCs w:val="32"/>
          <w:lang w:eastAsia="zh-CN"/>
        </w:rPr>
        <w:drawing>
          <wp:inline distT="0" distB="0" distL="114300" distR="114300">
            <wp:extent cx="5650865" cy="3834765"/>
            <wp:effectExtent l="0" t="0" r="6985" b="13335"/>
            <wp:docPr id="2" name="图片 4" descr="带字版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带字版_看图王"/>
                    <pic:cNvPicPr>
                      <a:picLocks noChangeAspect="1"/>
                    </pic:cNvPicPr>
                  </pic:nvPicPr>
                  <pic:blipFill>
                    <a:blip r:embed="rId13"/>
                    <a:srcRect/>
                    <a:stretch>
                      <a:fillRect/>
                    </a:stretch>
                  </pic:blipFill>
                  <pic:spPr>
                    <a:xfrm>
                      <a:off x="0" y="0"/>
                      <a:ext cx="5650865" cy="3834765"/>
                    </a:xfrm>
                    <a:prstGeom prst="rect">
                      <a:avLst/>
                    </a:prstGeom>
                    <a:noFill/>
                    <a:ln w="9525">
                      <a:noFill/>
                      <a:miter/>
                    </a:ln>
                  </pic:spPr>
                </pic:pic>
              </a:graphicData>
            </a:graphic>
          </wp:inline>
        </w:drawing>
      </w:r>
    </w:p>
    <w:p>
      <w:pPr>
        <w:overflowPunct w:val="0"/>
        <w:snapToGrid w:val="0"/>
        <w:spacing w:line="360" w:lineRule="auto"/>
        <w:ind w:firstLine="482" w:firstLineChars="200"/>
        <w:rPr>
          <w:rFonts w:hint="eastAsia" w:ascii="仿宋_GB2312" w:eastAsia="仿宋_GB2312"/>
          <w:b/>
          <w:bCs/>
          <w:sz w:val="32"/>
          <w:szCs w:val="32"/>
        </w:rPr>
      </w:pPr>
    </w:p>
    <w:p>
      <w:pPr>
        <w:overflowPunct w:val="0"/>
        <w:snapToGrid w:val="0"/>
        <w:spacing w:line="360" w:lineRule="auto"/>
        <w:ind w:firstLine="482" w:firstLineChars="200"/>
        <w:rPr>
          <w:rFonts w:hint="eastAsia" w:ascii="仿宋_GB2312" w:eastAsia="仿宋_GB2312"/>
          <w:b/>
          <w:bCs/>
          <w:sz w:val="32"/>
          <w:szCs w:val="32"/>
        </w:rPr>
      </w:pPr>
    </w:p>
    <w:p>
      <w:pPr>
        <w:overflowPunct w:val="0"/>
        <w:snapToGrid w:val="0"/>
        <w:spacing w:line="360" w:lineRule="auto"/>
        <w:ind w:firstLine="482" w:firstLineChars="200"/>
        <w:rPr>
          <w:rFonts w:hint="eastAsia" w:ascii="仿宋_GB2312" w:eastAsia="仿宋_GB2312"/>
          <w:sz w:val="32"/>
          <w:szCs w:val="32"/>
        </w:rPr>
      </w:pPr>
      <w:r>
        <w:rPr>
          <w:rFonts w:hint="eastAsia" w:ascii="仿宋_GB2312" w:eastAsia="仿宋_GB2312"/>
          <w:b/>
          <w:bCs/>
          <w:sz w:val="32"/>
          <w:szCs w:val="32"/>
        </w:rPr>
        <w:t>建设小微企业创业基地。</w:t>
      </w:r>
      <w:r>
        <w:rPr>
          <w:rFonts w:ascii="仿宋_GB2312" w:eastAsia="仿宋_GB2312"/>
          <w:sz w:val="32"/>
          <w:szCs w:val="32"/>
        </w:rPr>
        <w:t>以</w:t>
      </w:r>
      <w:r>
        <w:rPr>
          <w:rFonts w:hint="eastAsia" w:ascii="仿宋_GB2312" w:eastAsia="仿宋_GB2312"/>
          <w:sz w:val="32"/>
          <w:szCs w:val="32"/>
        </w:rPr>
        <w:t>“</w:t>
      </w:r>
      <w:r>
        <w:rPr>
          <w:rFonts w:ascii="仿宋_GB2312" w:eastAsia="仿宋_GB2312"/>
          <w:sz w:val="32"/>
          <w:szCs w:val="32"/>
        </w:rPr>
        <w:t>企业集中、产业集群、要素积聚、土地集约</w:t>
      </w:r>
      <w:r>
        <w:rPr>
          <w:rFonts w:hint="eastAsia" w:ascii="仿宋_GB2312" w:eastAsia="仿宋_GB2312"/>
          <w:sz w:val="32"/>
          <w:szCs w:val="32"/>
        </w:rPr>
        <w:t>”</w:t>
      </w:r>
      <w:r>
        <w:rPr>
          <w:rFonts w:ascii="仿宋_GB2312" w:eastAsia="仿宋_GB2312"/>
          <w:sz w:val="32"/>
          <w:szCs w:val="32"/>
        </w:rPr>
        <w:t>为原则，</w:t>
      </w:r>
      <w:r>
        <w:rPr>
          <w:rFonts w:hint="eastAsia" w:ascii="仿宋_GB2312" w:eastAsia="仿宋_GB2312"/>
          <w:sz w:val="32"/>
          <w:szCs w:val="32"/>
        </w:rPr>
        <w:t>构建低成本、便利化、全要素、开放式的众创空间，利用小微园建设周期，同步推进招商引资工作，边建边引，实现小微园同步建成投用。</w:t>
      </w:r>
      <w:r>
        <w:rPr>
          <w:rFonts w:ascii="仿宋_GB2312" w:eastAsia="仿宋_GB2312"/>
          <w:sz w:val="32"/>
          <w:szCs w:val="32"/>
        </w:rPr>
        <w:t>实施规范化管理</w:t>
      </w:r>
      <w:r>
        <w:rPr>
          <w:rFonts w:hint="eastAsia" w:ascii="仿宋_GB2312" w:eastAsia="仿宋_GB2312"/>
          <w:sz w:val="32"/>
          <w:szCs w:val="32"/>
        </w:rPr>
        <w:t>，加大对小微企业创新发展支持力度，打造</w:t>
      </w:r>
      <w:r>
        <w:rPr>
          <w:rFonts w:ascii="仿宋_GB2312" w:eastAsia="仿宋_GB2312"/>
          <w:sz w:val="32"/>
          <w:szCs w:val="32"/>
        </w:rPr>
        <w:t>小微企业创业综合服务平台、成果转化平台、公共技术服务平台</w:t>
      </w:r>
      <w:r>
        <w:rPr>
          <w:rFonts w:hint="eastAsia" w:ascii="仿宋_GB2312" w:eastAsia="仿宋_GB2312"/>
          <w:sz w:val="32"/>
          <w:szCs w:val="32"/>
        </w:rPr>
        <w:t>，进一步加强对线上、线下资源的整合，力争将其建设、培育成为独具特色、产业配套、优势突出、效益显著的省级中小微企业创业示范基地。</w:t>
      </w:r>
    </w:p>
    <w:p>
      <w:pPr>
        <w:overflowPunct w:val="0"/>
        <w:snapToGrid w:val="0"/>
        <w:spacing w:line="360" w:lineRule="auto"/>
        <w:ind w:firstLine="482" w:firstLineChars="200"/>
        <w:rPr>
          <w:rFonts w:hint="eastAsia" w:ascii="仿宋_GB2312" w:eastAsia="仿宋_GB2312"/>
          <w:sz w:val="32"/>
          <w:szCs w:val="32"/>
        </w:rPr>
      </w:pPr>
      <w:r>
        <w:rPr>
          <w:rFonts w:hint="eastAsia" w:ascii="仿宋_GB2312" w:eastAsia="仿宋_GB2312"/>
          <w:b/>
          <w:bCs/>
          <w:sz w:val="32"/>
          <w:szCs w:val="32"/>
        </w:rPr>
        <w:t>发展纸制品深加工产业集群。</w:t>
      </w:r>
      <w:r>
        <w:rPr>
          <w:rFonts w:hint="eastAsia" w:ascii="仿宋_GB2312" w:eastAsia="仿宋_GB2312"/>
          <w:sz w:val="32"/>
          <w:szCs w:val="32"/>
        </w:rPr>
        <w:t>借助发展现代印刷设备制造业契机，围绕抚顺矿业集团</w:t>
      </w:r>
      <w:r>
        <w:rPr>
          <w:rFonts w:ascii="仿宋_GB2312" w:eastAsia="仿宋_GB2312"/>
          <w:sz w:val="32"/>
          <w:szCs w:val="32"/>
        </w:rPr>
        <w:t>2*300MW</w:t>
      </w:r>
      <w:r>
        <w:rPr>
          <w:rFonts w:hint="eastAsia" w:ascii="仿宋_GB2312" w:eastAsia="仿宋_GB2312"/>
          <w:sz w:val="32"/>
          <w:szCs w:val="32"/>
        </w:rPr>
        <w:t>油母页岩热电项目和</w:t>
      </w:r>
      <w:r>
        <w:rPr>
          <w:rFonts w:ascii="仿宋_GB2312" w:eastAsia="仿宋_GB2312"/>
          <w:sz w:val="32"/>
          <w:szCs w:val="32"/>
        </w:rPr>
        <w:t>200</w:t>
      </w:r>
      <w:r>
        <w:rPr>
          <w:rFonts w:hint="eastAsia" w:ascii="仿宋_GB2312" w:eastAsia="仿宋_GB2312"/>
          <w:sz w:val="32"/>
          <w:szCs w:val="32"/>
        </w:rPr>
        <w:t>万吨再生造纸项目，加快引进配套项目，推进产业接续，延伸产业链条，打造以各类高中低档文化、办公、生活和包装用纸为主的纸制品深加工产业集群，推动纸制品包装在消费领域广泛应用，形成辐射东北地区的包装制品产业基地。</w:t>
      </w:r>
    </w:p>
    <w:p>
      <w:pPr>
        <w:pageBreakBefore w:val="0"/>
        <w:kinsoku/>
        <w:wordWrap/>
        <w:overflowPunct w:val="0"/>
        <w:topLinePunct w:val="0"/>
        <w:bidi w:val="0"/>
        <w:ind w:right="0" w:rightChars="0" w:firstLine="640" w:firstLineChars="200"/>
        <w:rPr>
          <w:rFonts w:hint="eastAsia" w:ascii="仿宋_GB2312" w:eastAsia="仿宋_GB2312"/>
          <w:sz w:val="32"/>
          <w:szCs w:val="32"/>
        </w:rPr>
      </w:pPr>
      <w:r>
        <w:rPr>
          <w:rFonts w:hint="eastAsia" w:ascii="仿宋_GB2312" w:eastAsia="仿宋_GB2312"/>
          <w:b/>
          <w:bCs/>
          <w:sz w:val="32"/>
          <w:szCs w:val="32"/>
        </w:rPr>
        <w:t>延伸钢铁深加工产业链。</w:t>
      </w:r>
      <w:r>
        <w:rPr>
          <w:rFonts w:hint="eastAsia" w:ascii="仿宋_GB2312" w:eastAsia="仿宋_GB2312"/>
          <w:sz w:val="32"/>
          <w:szCs w:val="32"/>
        </w:rPr>
        <w:t>围绕抚顺特钢年产</w:t>
      </w:r>
      <w:r>
        <w:rPr>
          <w:rFonts w:ascii="仿宋_GB2312" w:eastAsia="仿宋_GB2312"/>
          <w:sz w:val="32"/>
          <w:szCs w:val="32"/>
        </w:rPr>
        <w:t>100</w:t>
      </w:r>
      <w:r>
        <w:rPr>
          <w:rFonts w:hint="eastAsia" w:ascii="仿宋_GB2312" w:eastAsia="仿宋_GB2312"/>
          <w:sz w:val="32"/>
          <w:szCs w:val="32"/>
        </w:rPr>
        <w:t>万吨特殊钢和抚顺新钢铁年产</w:t>
      </w:r>
      <w:r>
        <w:rPr>
          <w:rFonts w:ascii="仿宋_GB2312" w:eastAsia="仿宋_GB2312"/>
          <w:sz w:val="32"/>
          <w:szCs w:val="32"/>
        </w:rPr>
        <w:t>300</w:t>
      </w:r>
      <w:r>
        <w:rPr>
          <w:rFonts w:hint="eastAsia" w:ascii="仿宋_GB2312" w:eastAsia="仿宋_GB2312"/>
          <w:sz w:val="32"/>
          <w:szCs w:val="32"/>
        </w:rPr>
        <w:t>万吨普通钢资源，提高钢铁产业集中度和专业化程度，积极引进装备用特殊钢、工程机械耐磨钢、先进工模具钢等材料型深加工项目；围绕管、线、板、带、棒等中间产品，积极引进刀具、刃具、钻探工具、大型装备组件、汽车零部件等产品型深加工和高端装备制造项目。</w:t>
      </w:r>
    </w:p>
    <w:p>
      <w:pPr>
        <w:pageBreakBefore w:val="0"/>
        <w:kinsoku/>
        <w:wordWrap/>
        <w:overflowPunct w:val="0"/>
        <w:topLinePunct w:val="0"/>
        <w:bidi w:val="0"/>
        <w:ind w:right="0" w:rightChars="0" w:firstLine="640" w:firstLineChars="200"/>
        <w:rPr>
          <w:rFonts w:hint="eastAsia" w:ascii="仿宋_GB2312" w:eastAsia="仿宋_GB2312"/>
          <w:sz w:val="32"/>
          <w:szCs w:val="32"/>
        </w:rPr>
      </w:pPr>
    </w:p>
    <w:tbl>
      <w:tblPr>
        <w:tblStyle w:val="11"/>
        <w:tblW w:w="8820" w:type="dxa"/>
        <w:tblInd w:w="108" w:type="dxa"/>
        <w:tblLayout w:type="fixed"/>
        <w:tblCellMar>
          <w:top w:w="0" w:type="dxa"/>
          <w:left w:w="108" w:type="dxa"/>
          <w:bottom w:w="0" w:type="dxa"/>
          <w:right w:w="108" w:type="dxa"/>
        </w:tblCellMar>
      </w:tblPr>
      <w:tblGrid>
        <w:gridCol w:w="740"/>
        <w:gridCol w:w="2350"/>
        <w:gridCol w:w="5730"/>
      </w:tblGrid>
      <w:tr>
        <w:tblPrEx>
          <w:tblLayout w:type="fixed"/>
          <w:tblCellMar>
            <w:top w:w="0" w:type="dxa"/>
            <w:left w:w="108" w:type="dxa"/>
            <w:bottom w:w="0" w:type="dxa"/>
            <w:right w:w="108" w:type="dxa"/>
          </w:tblCellMar>
        </w:tblPrEx>
        <w:trPr>
          <w:trHeight w:val="514" w:hRule="atLeast"/>
        </w:trPr>
        <w:tc>
          <w:tcPr>
            <w:tcW w:w="8820" w:type="dxa"/>
            <w:gridSpan w:val="3"/>
            <w:tcBorders>
              <w:top w:val="single" w:color="000000" w:sz="2" w:space="0"/>
              <w:left w:val="single" w:color="000000" w:sz="2" w:space="0"/>
              <w:bottom w:val="single" w:color="000000" w:sz="2" w:space="0"/>
              <w:right w:val="single" w:color="000000" w:sz="2" w:space="0"/>
            </w:tcBorders>
            <w:vAlign w:val="center"/>
          </w:tcPr>
          <w:p>
            <w:pPr>
              <w:pageBreakBefore w:val="0"/>
              <w:kinsoku/>
              <w:wordWrap/>
              <w:overflowPunct w:val="0"/>
              <w:topLinePunct w:val="0"/>
              <w:autoSpaceDE w:val="0"/>
              <w:autoSpaceDN w:val="0"/>
              <w:bidi w:val="0"/>
              <w:adjustRightInd w:val="0"/>
              <w:ind w:right="0" w:rightChars="0"/>
              <w:jc w:val="center"/>
              <w:rPr>
                <w:rFonts w:hint="eastAsia" w:ascii="宋体" w:hAnsi="宋体" w:eastAsia="宋体" w:cs="宋体"/>
                <w:kern w:val="0"/>
                <w:sz w:val="24"/>
                <w:szCs w:val="24"/>
                <w:lang w:val="zh-CN"/>
              </w:rPr>
            </w:pPr>
            <w:r>
              <w:rPr>
                <w:rFonts w:hint="eastAsia" w:ascii="宋体" w:hAnsi="宋体" w:cs="宋体"/>
                <w:b/>
                <w:bCs/>
                <w:kern w:val="0"/>
                <w:sz w:val="28"/>
                <w:szCs w:val="28"/>
                <w:lang w:val="zh-CN"/>
              </w:rPr>
              <w:t>专栏四：</w:t>
            </w:r>
            <w:r>
              <w:rPr>
                <w:rFonts w:hint="eastAsia" w:ascii="宋体" w:hAnsi="宋体" w:eastAsia="宋体" w:cs="宋体"/>
                <w:b/>
                <w:bCs/>
                <w:kern w:val="0"/>
                <w:sz w:val="28"/>
                <w:szCs w:val="28"/>
                <w:lang w:val="zh-CN"/>
              </w:rPr>
              <w:t>望花经济开发区重点项目表</w:t>
            </w:r>
          </w:p>
        </w:tc>
      </w:tr>
      <w:tr>
        <w:tblPrEx>
          <w:tblLayout w:type="fixed"/>
          <w:tblCellMar>
            <w:top w:w="0" w:type="dxa"/>
            <w:left w:w="108" w:type="dxa"/>
            <w:bottom w:w="0" w:type="dxa"/>
            <w:right w:w="108" w:type="dxa"/>
          </w:tblCellMar>
        </w:tblPrEx>
        <w:trPr>
          <w:trHeight w:val="499" w:hRule="atLeast"/>
        </w:trPr>
        <w:tc>
          <w:tcPr>
            <w:tcW w:w="740" w:type="dxa"/>
            <w:tcBorders>
              <w:top w:val="single" w:color="000000" w:sz="2" w:space="0"/>
              <w:left w:val="single" w:color="000000" w:sz="2" w:space="0"/>
              <w:bottom w:val="single" w:color="auto" w:sz="4" w:space="0"/>
              <w:right w:val="single" w:color="000000" w:sz="2" w:space="0"/>
            </w:tcBorders>
            <w:vAlign w:val="center"/>
          </w:tcPr>
          <w:p>
            <w:pPr>
              <w:pageBreakBefore w:val="0"/>
              <w:kinsoku/>
              <w:wordWrap/>
              <w:overflowPunct w:val="0"/>
              <w:topLinePunct w:val="0"/>
              <w:autoSpaceDE w:val="0"/>
              <w:autoSpaceDN w:val="0"/>
              <w:bidi w:val="0"/>
              <w:adjustRightInd w:val="0"/>
              <w:ind w:right="0" w:rightChars="0"/>
              <w:jc w:val="center"/>
              <w:rPr>
                <w:rFonts w:hint="eastAsia" w:ascii="宋体" w:hAnsi="宋体" w:eastAsia="宋体" w:cs="宋体"/>
                <w:kern w:val="0"/>
                <w:sz w:val="24"/>
                <w:szCs w:val="24"/>
                <w:lang w:val="zh-CN"/>
              </w:rPr>
            </w:pPr>
            <w:r>
              <w:rPr>
                <w:rFonts w:hint="eastAsia" w:ascii="宋体" w:hAnsi="宋体" w:eastAsia="宋体" w:cs="宋体"/>
                <w:kern w:val="0"/>
                <w:sz w:val="24"/>
                <w:szCs w:val="24"/>
                <w:lang w:val="zh-CN"/>
              </w:rPr>
              <w:t>序号</w:t>
            </w:r>
          </w:p>
        </w:tc>
        <w:tc>
          <w:tcPr>
            <w:tcW w:w="2350" w:type="dxa"/>
            <w:tcBorders>
              <w:top w:val="single" w:color="000000" w:sz="2" w:space="0"/>
              <w:left w:val="single" w:color="000000" w:sz="2" w:space="0"/>
              <w:bottom w:val="single" w:color="auto" w:sz="4" w:space="0"/>
              <w:right w:val="single" w:color="auto" w:sz="4" w:space="0"/>
            </w:tcBorders>
            <w:vAlign w:val="center"/>
          </w:tcPr>
          <w:p>
            <w:pPr>
              <w:pageBreakBefore w:val="0"/>
              <w:kinsoku/>
              <w:wordWrap/>
              <w:overflowPunct w:val="0"/>
              <w:topLinePunct w:val="0"/>
              <w:autoSpaceDE w:val="0"/>
              <w:autoSpaceDN w:val="0"/>
              <w:bidi w:val="0"/>
              <w:adjustRightInd w:val="0"/>
              <w:ind w:right="0" w:rightChars="0"/>
              <w:jc w:val="center"/>
              <w:rPr>
                <w:rFonts w:hint="eastAsia" w:ascii="宋体" w:hAnsi="宋体" w:eastAsia="宋体" w:cs="宋体"/>
                <w:kern w:val="0"/>
                <w:sz w:val="24"/>
                <w:szCs w:val="24"/>
                <w:lang w:val="zh-CN"/>
              </w:rPr>
            </w:pPr>
            <w:r>
              <w:rPr>
                <w:rFonts w:hint="eastAsia" w:ascii="宋体" w:hAnsi="宋体" w:eastAsia="宋体" w:cs="宋体"/>
                <w:kern w:val="0"/>
                <w:sz w:val="24"/>
                <w:szCs w:val="24"/>
                <w:lang w:val="zh-CN"/>
              </w:rPr>
              <w:t>项目名称</w:t>
            </w:r>
          </w:p>
        </w:tc>
        <w:tc>
          <w:tcPr>
            <w:tcW w:w="5730"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val="0"/>
              <w:topLinePunct w:val="0"/>
              <w:autoSpaceDE w:val="0"/>
              <w:autoSpaceDN w:val="0"/>
              <w:bidi w:val="0"/>
              <w:adjustRightInd w:val="0"/>
              <w:ind w:right="0" w:rightChars="0"/>
              <w:jc w:val="center"/>
              <w:rPr>
                <w:rFonts w:hint="eastAsia" w:ascii="宋体" w:hAnsi="宋体" w:eastAsia="宋体" w:cs="宋体"/>
                <w:kern w:val="0"/>
                <w:sz w:val="24"/>
                <w:szCs w:val="24"/>
                <w:lang w:val="zh-CN"/>
              </w:rPr>
            </w:pPr>
            <w:r>
              <w:rPr>
                <w:rFonts w:hint="eastAsia" w:ascii="宋体" w:hAnsi="宋体" w:eastAsia="宋体" w:cs="宋体"/>
                <w:kern w:val="0"/>
                <w:sz w:val="24"/>
                <w:szCs w:val="24"/>
                <w:lang w:val="zh-CN"/>
              </w:rPr>
              <w:t>项目建设内容</w:t>
            </w:r>
          </w:p>
        </w:tc>
      </w:tr>
      <w:tr>
        <w:tblPrEx>
          <w:tblLayout w:type="fixed"/>
          <w:tblCellMar>
            <w:top w:w="0" w:type="dxa"/>
            <w:left w:w="108" w:type="dxa"/>
            <w:bottom w:w="0" w:type="dxa"/>
            <w:right w:w="108" w:type="dxa"/>
          </w:tblCellMar>
        </w:tblPrEx>
        <w:trPr>
          <w:trHeight w:val="958" w:hRule="atLeast"/>
        </w:trPr>
        <w:tc>
          <w:tcPr>
            <w:tcW w:w="740" w:type="dxa"/>
            <w:tcBorders>
              <w:top w:val="single" w:color="auto" w:sz="4" w:space="0"/>
              <w:left w:val="single" w:color="auto" w:sz="4" w:space="0"/>
              <w:bottom w:val="single" w:color="000000" w:sz="2" w:space="0"/>
              <w:right w:val="single" w:color="000000" w:sz="2" w:space="0"/>
            </w:tcBorders>
            <w:vAlign w:val="center"/>
          </w:tcPr>
          <w:p>
            <w:pPr>
              <w:pageBreakBefore w:val="0"/>
              <w:kinsoku/>
              <w:wordWrap/>
              <w:overflowPunct w:val="0"/>
              <w:topLinePunct w:val="0"/>
              <w:autoSpaceDE w:val="0"/>
              <w:autoSpaceDN w:val="0"/>
              <w:bidi w:val="0"/>
              <w:adjustRightInd w:val="0"/>
              <w:ind w:right="0" w:rightChars="0"/>
              <w:jc w:val="center"/>
              <w:rPr>
                <w:rFonts w:hint="eastAsia" w:ascii="宋体" w:hAnsi="宋体" w:eastAsia="宋体" w:cs="宋体"/>
                <w:kern w:val="0"/>
                <w:sz w:val="24"/>
                <w:szCs w:val="24"/>
                <w:lang w:val="zh-CN"/>
              </w:rPr>
            </w:pPr>
            <w:r>
              <w:rPr>
                <w:rFonts w:hint="eastAsia" w:ascii="宋体" w:hAnsi="宋体" w:eastAsia="宋体" w:cs="宋体"/>
                <w:kern w:val="0"/>
                <w:sz w:val="24"/>
                <w:szCs w:val="24"/>
                <w:lang w:val="zh-CN"/>
              </w:rPr>
              <w:t>1</w:t>
            </w:r>
          </w:p>
        </w:tc>
        <w:tc>
          <w:tcPr>
            <w:tcW w:w="2350" w:type="dxa"/>
            <w:tcBorders>
              <w:top w:val="single" w:color="auto" w:sz="4" w:space="0"/>
              <w:left w:val="single" w:color="000000" w:sz="2" w:space="0"/>
              <w:bottom w:val="single" w:color="000000" w:sz="2" w:space="0"/>
              <w:right w:val="single" w:color="000000" w:sz="2" w:space="0"/>
            </w:tcBorders>
            <w:vAlign w:val="center"/>
          </w:tcPr>
          <w:p>
            <w:pPr>
              <w:pageBreakBefore w:val="0"/>
              <w:kinsoku/>
              <w:wordWrap/>
              <w:overflowPunct w:val="0"/>
              <w:topLinePunct w:val="0"/>
              <w:autoSpaceDE w:val="0"/>
              <w:autoSpaceDN w:val="0"/>
              <w:bidi w:val="0"/>
              <w:adjustRightInd w:val="0"/>
              <w:ind w:right="0" w:rightChars="0"/>
              <w:jc w:val="center"/>
              <w:rPr>
                <w:rFonts w:hint="eastAsia" w:ascii="宋体" w:hAnsi="宋体" w:eastAsia="宋体" w:cs="宋体"/>
                <w:kern w:val="0"/>
                <w:sz w:val="24"/>
                <w:szCs w:val="24"/>
                <w:lang w:val="zh-CN"/>
              </w:rPr>
            </w:pPr>
            <w:r>
              <w:rPr>
                <w:rFonts w:hint="eastAsia" w:ascii="宋体" w:hAnsi="宋体" w:eastAsia="宋体" w:cs="宋体"/>
                <w:kern w:val="0"/>
                <w:sz w:val="24"/>
                <w:szCs w:val="24"/>
                <w:lang w:val="zh-CN"/>
              </w:rPr>
              <w:t>小微企业</w:t>
            </w:r>
            <w:r>
              <w:rPr>
                <w:rFonts w:hint="eastAsia" w:ascii="宋体" w:hAnsi="宋体" w:cs="宋体"/>
                <w:kern w:val="0"/>
                <w:sz w:val="24"/>
                <w:szCs w:val="24"/>
                <w:lang w:val="zh-CN"/>
              </w:rPr>
              <w:t>创业</w:t>
            </w:r>
            <w:r>
              <w:rPr>
                <w:rFonts w:hint="eastAsia" w:ascii="宋体" w:hAnsi="宋体" w:eastAsia="宋体" w:cs="宋体"/>
                <w:kern w:val="0"/>
                <w:sz w:val="24"/>
                <w:szCs w:val="24"/>
                <w:lang w:val="zh-CN"/>
              </w:rPr>
              <w:t>项目</w:t>
            </w:r>
          </w:p>
        </w:tc>
        <w:tc>
          <w:tcPr>
            <w:tcW w:w="5730" w:type="dxa"/>
            <w:tcBorders>
              <w:top w:val="single" w:color="auto" w:sz="4" w:space="0"/>
              <w:left w:val="single" w:color="000000" w:sz="2" w:space="0"/>
              <w:bottom w:val="single" w:color="000000" w:sz="2" w:space="0"/>
              <w:right w:val="single" w:color="auto" w:sz="4" w:space="0"/>
            </w:tcBorders>
            <w:vAlign w:val="center"/>
          </w:tcPr>
          <w:p>
            <w:pPr>
              <w:pageBreakBefore w:val="0"/>
              <w:kinsoku/>
              <w:wordWrap/>
              <w:overflowPunct w:val="0"/>
              <w:topLinePunct w:val="0"/>
              <w:autoSpaceDE w:val="0"/>
              <w:autoSpaceDN w:val="0"/>
              <w:bidi w:val="0"/>
              <w:adjustRightInd w:val="0"/>
              <w:ind w:right="0" w:rightChars="0"/>
              <w:jc w:val="left"/>
              <w:rPr>
                <w:rFonts w:hint="eastAsia" w:ascii="宋体" w:hAnsi="宋体" w:eastAsia="宋体" w:cs="宋体"/>
                <w:kern w:val="0"/>
                <w:sz w:val="24"/>
                <w:szCs w:val="24"/>
                <w:lang w:val="zh-CN" w:eastAsia="zh-CN"/>
              </w:rPr>
            </w:pPr>
            <w:r>
              <w:rPr>
                <w:rFonts w:hint="eastAsia" w:ascii="宋体" w:hAnsi="宋体" w:eastAsia="宋体" w:cs="宋体"/>
                <w:kern w:val="0"/>
                <w:sz w:val="24"/>
                <w:szCs w:val="24"/>
                <w:lang w:val="zh-CN"/>
              </w:rPr>
              <w:t>项目占地面积103200平方米，总建筑面积</w:t>
            </w:r>
            <w:r>
              <w:rPr>
                <w:rFonts w:hint="eastAsia" w:ascii="宋体" w:hAnsi="宋体" w:eastAsia="宋体" w:cs="宋体"/>
                <w:kern w:val="0"/>
                <w:sz w:val="24"/>
                <w:szCs w:val="24"/>
                <w:lang w:val="zh-CN" w:eastAsia="zh-CN"/>
              </w:rPr>
              <w:t>84125</w:t>
            </w:r>
            <w:r>
              <w:rPr>
                <w:rFonts w:hint="eastAsia" w:ascii="宋体" w:hAnsi="宋体" w:eastAsia="宋体" w:cs="宋体"/>
                <w:kern w:val="0"/>
                <w:sz w:val="24"/>
                <w:szCs w:val="24"/>
                <w:lang w:val="zh-CN"/>
              </w:rPr>
              <w:t>平方米，其中综合楼建筑面积</w:t>
            </w:r>
            <w:r>
              <w:rPr>
                <w:rFonts w:hint="eastAsia" w:ascii="宋体" w:hAnsi="宋体" w:eastAsia="宋体" w:cs="宋体"/>
                <w:kern w:val="0"/>
                <w:sz w:val="24"/>
                <w:szCs w:val="24"/>
                <w:lang w:val="zh-CN" w:eastAsia="zh-CN"/>
              </w:rPr>
              <w:t>3870</w:t>
            </w:r>
            <w:r>
              <w:rPr>
                <w:rFonts w:hint="eastAsia" w:ascii="宋体" w:hAnsi="宋体" w:eastAsia="宋体" w:cs="宋体"/>
                <w:kern w:val="0"/>
                <w:sz w:val="24"/>
                <w:szCs w:val="24"/>
                <w:lang w:val="zh-CN"/>
              </w:rPr>
              <w:t>平方米，厂房建筑面积</w:t>
            </w:r>
            <w:r>
              <w:rPr>
                <w:rFonts w:hint="eastAsia" w:ascii="宋体" w:hAnsi="宋体" w:eastAsia="宋体" w:cs="宋体"/>
                <w:kern w:val="0"/>
                <w:sz w:val="24"/>
                <w:szCs w:val="24"/>
                <w:lang w:val="zh-CN" w:eastAsia="zh-CN"/>
              </w:rPr>
              <w:t>78845</w:t>
            </w:r>
            <w:r>
              <w:rPr>
                <w:rFonts w:hint="eastAsia" w:ascii="宋体" w:hAnsi="宋体" w:eastAsia="宋体" w:cs="宋体"/>
                <w:kern w:val="0"/>
                <w:sz w:val="24"/>
                <w:szCs w:val="24"/>
                <w:lang w:val="zh-CN"/>
              </w:rPr>
              <w:t>平方米，调压站</w:t>
            </w:r>
            <w:r>
              <w:rPr>
                <w:rFonts w:hint="eastAsia" w:ascii="宋体" w:hAnsi="宋体" w:eastAsia="宋体" w:cs="宋体"/>
                <w:kern w:val="0"/>
                <w:sz w:val="24"/>
                <w:szCs w:val="24"/>
                <w:lang w:val="zh-CN" w:eastAsia="zh-CN"/>
              </w:rPr>
              <w:t>960</w:t>
            </w:r>
            <w:r>
              <w:rPr>
                <w:rFonts w:hint="eastAsia" w:ascii="宋体" w:hAnsi="宋体" w:eastAsia="宋体" w:cs="宋体"/>
                <w:kern w:val="0"/>
                <w:sz w:val="24"/>
                <w:szCs w:val="24"/>
                <w:lang w:val="zh-CN"/>
              </w:rPr>
              <w:t>平方米，变电所</w:t>
            </w:r>
            <w:r>
              <w:rPr>
                <w:rFonts w:hint="eastAsia" w:ascii="宋体" w:hAnsi="宋体" w:eastAsia="宋体" w:cs="宋体"/>
                <w:kern w:val="0"/>
                <w:sz w:val="24"/>
                <w:szCs w:val="24"/>
                <w:lang w:val="zh-CN" w:eastAsia="zh-CN"/>
              </w:rPr>
              <w:t>450</w:t>
            </w:r>
            <w:r>
              <w:rPr>
                <w:rFonts w:hint="eastAsia" w:ascii="宋体" w:hAnsi="宋体" w:eastAsia="宋体" w:cs="宋体"/>
                <w:kern w:val="0"/>
                <w:sz w:val="24"/>
                <w:szCs w:val="24"/>
                <w:lang w:val="zh-CN"/>
              </w:rPr>
              <w:t>平方米。</w:t>
            </w:r>
          </w:p>
        </w:tc>
      </w:tr>
      <w:tr>
        <w:tblPrEx>
          <w:tblLayout w:type="fixed"/>
          <w:tblCellMar>
            <w:top w:w="0" w:type="dxa"/>
            <w:left w:w="108" w:type="dxa"/>
            <w:bottom w:w="0" w:type="dxa"/>
            <w:right w:w="108" w:type="dxa"/>
          </w:tblCellMar>
        </w:tblPrEx>
        <w:trPr>
          <w:trHeight w:val="584" w:hRule="atLeast"/>
        </w:trPr>
        <w:tc>
          <w:tcPr>
            <w:tcW w:w="740" w:type="dxa"/>
            <w:tcBorders>
              <w:top w:val="single" w:color="000000" w:sz="2" w:space="0"/>
              <w:left w:val="single" w:color="auto" w:sz="4" w:space="0"/>
              <w:bottom w:val="single" w:color="000000" w:sz="2" w:space="0"/>
              <w:right w:val="single" w:color="000000" w:sz="2" w:space="0"/>
            </w:tcBorders>
            <w:vAlign w:val="center"/>
          </w:tcPr>
          <w:p>
            <w:pPr>
              <w:pageBreakBefore w:val="0"/>
              <w:kinsoku/>
              <w:wordWrap/>
              <w:overflowPunct w:val="0"/>
              <w:topLinePunct w:val="0"/>
              <w:autoSpaceDE w:val="0"/>
              <w:autoSpaceDN w:val="0"/>
              <w:bidi w:val="0"/>
              <w:adjustRightInd w:val="0"/>
              <w:ind w:right="0" w:rightChars="0"/>
              <w:jc w:val="center"/>
              <w:rPr>
                <w:rFonts w:hint="eastAsia" w:ascii="宋体" w:hAnsi="宋体" w:eastAsia="宋体" w:cs="宋体"/>
                <w:kern w:val="0"/>
                <w:sz w:val="24"/>
                <w:szCs w:val="24"/>
                <w:lang w:val="zh-CN"/>
              </w:rPr>
            </w:pPr>
            <w:r>
              <w:rPr>
                <w:rFonts w:hint="eastAsia" w:ascii="宋体" w:hAnsi="宋体" w:eastAsia="宋体" w:cs="宋体"/>
                <w:kern w:val="0"/>
                <w:sz w:val="24"/>
                <w:szCs w:val="24"/>
                <w:lang w:val="zh-CN"/>
              </w:rPr>
              <w:t>2</w:t>
            </w:r>
          </w:p>
        </w:tc>
        <w:tc>
          <w:tcPr>
            <w:tcW w:w="2350" w:type="dxa"/>
            <w:tcBorders>
              <w:top w:val="single" w:color="000000" w:sz="2" w:space="0"/>
              <w:left w:val="single" w:color="000000" w:sz="2" w:space="0"/>
              <w:bottom w:val="single" w:color="000000" w:sz="2" w:space="0"/>
              <w:right w:val="single" w:color="000000" w:sz="2" w:space="0"/>
            </w:tcBorders>
            <w:vAlign w:val="center"/>
          </w:tcPr>
          <w:p>
            <w:pPr>
              <w:pageBreakBefore w:val="0"/>
              <w:kinsoku/>
              <w:wordWrap/>
              <w:overflowPunct w:val="0"/>
              <w:topLinePunct w:val="0"/>
              <w:autoSpaceDE w:val="0"/>
              <w:autoSpaceDN w:val="0"/>
              <w:bidi w:val="0"/>
              <w:adjustRightInd w:val="0"/>
              <w:ind w:right="0" w:rightChars="0"/>
              <w:jc w:val="center"/>
              <w:rPr>
                <w:rFonts w:hint="eastAsia" w:ascii="宋体" w:hAnsi="宋体" w:eastAsia="宋体" w:cs="宋体"/>
                <w:kern w:val="0"/>
                <w:sz w:val="24"/>
                <w:szCs w:val="24"/>
                <w:lang w:val="zh-CN"/>
              </w:rPr>
            </w:pPr>
            <w:r>
              <w:rPr>
                <w:rFonts w:hint="eastAsia" w:ascii="宋体" w:hAnsi="宋体" w:eastAsia="宋体" w:cs="宋体"/>
                <w:kern w:val="0"/>
                <w:sz w:val="24"/>
                <w:szCs w:val="24"/>
                <w:lang w:val="zh-CN"/>
              </w:rPr>
              <w:t>抚矿中机热电厂</w:t>
            </w:r>
          </w:p>
          <w:p>
            <w:pPr>
              <w:pageBreakBefore w:val="0"/>
              <w:kinsoku/>
              <w:wordWrap/>
              <w:overflowPunct w:val="0"/>
              <w:topLinePunct w:val="0"/>
              <w:autoSpaceDE w:val="0"/>
              <w:autoSpaceDN w:val="0"/>
              <w:bidi w:val="0"/>
              <w:adjustRightInd w:val="0"/>
              <w:ind w:right="0" w:rightChars="0"/>
              <w:jc w:val="center"/>
              <w:rPr>
                <w:rFonts w:hint="eastAsia" w:ascii="宋体" w:hAnsi="宋体" w:eastAsia="宋体" w:cs="宋体"/>
                <w:kern w:val="0"/>
                <w:sz w:val="24"/>
                <w:szCs w:val="24"/>
                <w:lang w:val="zh-CN"/>
              </w:rPr>
            </w:pPr>
            <w:r>
              <w:rPr>
                <w:rFonts w:hint="eastAsia" w:ascii="宋体" w:hAnsi="宋体" w:eastAsia="宋体" w:cs="宋体"/>
                <w:kern w:val="0"/>
                <w:sz w:val="24"/>
                <w:szCs w:val="24"/>
                <w:lang w:val="zh-CN"/>
              </w:rPr>
              <w:t>项目</w:t>
            </w:r>
          </w:p>
        </w:tc>
        <w:tc>
          <w:tcPr>
            <w:tcW w:w="5730" w:type="dxa"/>
            <w:tcBorders>
              <w:top w:val="single" w:color="000000" w:sz="2" w:space="0"/>
              <w:left w:val="single" w:color="000000" w:sz="2" w:space="0"/>
              <w:bottom w:val="single" w:color="000000" w:sz="2" w:space="0"/>
              <w:right w:val="single" w:color="auto" w:sz="4" w:space="0"/>
            </w:tcBorders>
            <w:vAlign w:val="center"/>
          </w:tcPr>
          <w:p>
            <w:pPr>
              <w:pageBreakBefore w:val="0"/>
              <w:kinsoku/>
              <w:wordWrap/>
              <w:overflowPunct w:val="0"/>
              <w:topLinePunct w:val="0"/>
              <w:autoSpaceDE w:val="0"/>
              <w:autoSpaceDN w:val="0"/>
              <w:bidi w:val="0"/>
              <w:adjustRightInd w:val="0"/>
              <w:ind w:right="0" w:rightChars="0"/>
              <w:jc w:val="left"/>
              <w:rPr>
                <w:rFonts w:hint="eastAsia" w:ascii="宋体" w:hAnsi="宋体" w:eastAsia="宋体" w:cs="宋体"/>
                <w:kern w:val="0"/>
                <w:sz w:val="24"/>
                <w:szCs w:val="24"/>
                <w:lang w:val="zh-CN"/>
              </w:rPr>
            </w:pPr>
            <w:r>
              <w:rPr>
                <w:rFonts w:hint="eastAsia" w:ascii="宋体" w:hAnsi="宋体" w:eastAsia="宋体" w:cs="宋体"/>
                <w:kern w:val="0"/>
                <w:sz w:val="24"/>
                <w:szCs w:val="24"/>
                <w:lang w:val="zh-CN"/>
              </w:rPr>
              <w:t>建设2×300MW热电机组</w:t>
            </w:r>
            <w:r>
              <w:rPr>
                <w:rFonts w:hint="eastAsia" w:ascii="宋体" w:hAnsi="宋体" w:cs="宋体"/>
                <w:kern w:val="0"/>
                <w:sz w:val="24"/>
                <w:szCs w:val="24"/>
                <w:lang w:val="zh-CN"/>
              </w:rPr>
              <w:t>。</w:t>
            </w:r>
          </w:p>
        </w:tc>
      </w:tr>
      <w:tr>
        <w:tblPrEx>
          <w:tblLayout w:type="fixed"/>
          <w:tblCellMar>
            <w:top w:w="0" w:type="dxa"/>
            <w:left w:w="108" w:type="dxa"/>
            <w:bottom w:w="0" w:type="dxa"/>
            <w:right w:w="108" w:type="dxa"/>
          </w:tblCellMar>
        </w:tblPrEx>
        <w:trPr>
          <w:trHeight w:val="734" w:hRule="atLeast"/>
        </w:trPr>
        <w:tc>
          <w:tcPr>
            <w:tcW w:w="740" w:type="dxa"/>
            <w:tcBorders>
              <w:top w:val="single" w:color="000000" w:sz="2" w:space="0"/>
              <w:left w:val="single" w:color="auto" w:sz="4" w:space="0"/>
              <w:bottom w:val="single" w:color="000000" w:sz="2" w:space="0"/>
              <w:right w:val="single" w:color="000000" w:sz="2" w:space="0"/>
            </w:tcBorders>
            <w:vAlign w:val="center"/>
          </w:tcPr>
          <w:p>
            <w:pPr>
              <w:pageBreakBefore w:val="0"/>
              <w:kinsoku/>
              <w:wordWrap/>
              <w:overflowPunct w:val="0"/>
              <w:topLinePunct w:val="0"/>
              <w:autoSpaceDE w:val="0"/>
              <w:autoSpaceDN w:val="0"/>
              <w:bidi w:val="0"/>
              <w:adjustRightInd w:val="0"/>
              <w:ind w:right="0" w:rightChars="0"/>
              <w:jc w:val="center"/>
              <w:rPr>
                <w:rFonts w:hint="eastAsia" w:ascii="宋体" w:hAnsi="宋体" w:eastAsia="宋体" w:cs="宋体"/>
                <w:kern w:val="0"/>
                <w:sz w:val="24"/>
                <w:szCs w:val="24"/>
                <w:lang w:val="zh-CN" w:eastAsia="zh-CN"/>
              </w:rPr>
            </w:pPr>
            <w:r>
              <w:rPr>
                <w:rFonts w:hint="eastAsia" w:ascii="宋体" w:hAnsi="宋体" w:cs="宋体"/>
                <w:kern w:val="0"/>
                <w:sz w:val="24"/>
                <w:szCs w:val="24"/>
                <w:lang w:val="en-US" w:eastAsia="zh-CN"/>
              </w:rPr>
              <w:t>3</w:t>
            </w:r>
          </w:p>
        </w:tc>
        <w:tc>
          <w:tcPr>
            <w:tcW w:w="2350" w:type="dxa"/>
            <w:tcBorders>
              <w:top w:val="single" w:color="000000" w:sz="2" w:space="0"/>
              <w:left w:val="single" w:color="000000" w:sz="2" w:space="0"/>
              <w:bottom w:val="single" w:color="000000" w:sz="2" w:space="0"/>
              <w:right w:val="single" w:color="000000" w:sz="2" w:space="0"/>
            </w:tcBorders>
            <w:vAlign w:val="center"/>
          </w:tcPr>
          <w:p>
            <w:pPr>
              <w:pageBreakBefore w:val="0"/>
              <w:kinsoku/>
              <w:wordWrap/>
              <w:overflowPunct w:val="0"/>
              <w:topLinePunct w:val="0"/>
              <w:autoSpaceDE w:val="0"/>
              <w:autoSpaceDN w:val="0"/>
              <w:bidi w:val="0"/>
              <w:adjustRightInd w:val="0"/>
              <w:ind w:right="0" w:rightChars="0"/>
              <w:jc w:val="center"/>
              <w:rPr>
                <w:rFonts w:hint="eastAsia" w:ascii="宋体" w:hAnsi="宋体" w:eastAsia="宋体" w:cs="宋体"/>
                <w:kern w:val="0"/>
                <w:sz w:val="24"/>
                <w:szCs w:val="24"/>
                <w:lang w:val="zh-CN"/>
              </w:rPr>
            </w:pPr>
            <w:r>
              <w:rPr>
                <w:rFonts w:hint="eastAsia" w:ascii="宋体" w:hAnsi="宋体" w:eastAsia="宋体" w:cs="宋体"/>
                <w:kern w:val="0"/>
                <w:sz w:val="24"/>
                <w:szCs w:val="24"/>
                <w:lang w:val="zh-CN"/>
              </w:rPr>
              <w:t>汽车合结钢零部件项目</w:t>
            </w:r>
          </w:p>
        </w:tc>
        <w:tc>
          <w:tcPr>
            <w:tcW w:w="5730" w:type="dxa"/>
            <w:tcBorders>
              <w:top w:val="single" w:color="000000" w:sz="2" w:space="0"/>
              <w:left w:val="single" w:color="000000" w:sz="2" w:space="0"/>
              <w:bottom w:val="single" w:color="000000" w:sz="2" w:space="0"/>
              <w:right w:val="single" w:color="auto" w:sz="4" w:space="0"/>
            </w:tcBorders>
            <w:vAlign w:val="center"/>
          </w:tcPr>
          <w:p>
            <w:pPr>
              <w:pageBreakBefore w:val="0"/>
              <w:kinsoku/>
              <w:wordWrap/>
              <w:overflowPunct w:val="0"/>
              <w:topLinePunct w:val="0"/>
              <w:autoSpaceDE w:val="0"/>
              <w:autoSpaceDN w:val="0"/>
              <w:bidi w:val="0"/>
              <w:adjustRightInd w:val="0"/>
              <w:ind w:right="0" w:rightChars="0"/>
              <w:jc w:val="left"/>
              <w:rPr>
                <w:rFonts w:hint="eastAsia" w:ascii="宋体" w:hAnsi="宋体" w:eastAsia="宋体" w:cs="宋体"/>
                <w:kern w:val="0"/>
                <w:sz w:val="24"/>
                <w:szCs w:val="24"/>
                <w:lang w:val="zh-CN"/>
              </w:rPr>
            </w:pPr>
            <w:r>
              <w:rPr>
                <w:rFonts w:hint="eastAsia" w:ascii="宋体" w:hAnsi="宋体" w:eastAsia="宋体" w:cs="宋体"/>
                <w:kern w:val="0"/>
                <w:sz w:val="24"/>
                <w:szCs w:val="24"/>
                <w:lang w:val="zh-CN"/>
              </w:rPr>
              <w:t>占地面积200亩，建设齿轮、曲轴、连杆等汽车零部件及模具加工生产线。</w:t>
            </w:r>
          </w:p>
        </w:tc>
      </w:tr>
      <w:tr>
        <w:tblPrEx>
          <w:tblLayout w:type="fixed"/>
          <w:tblCellMar>
            <w:top w:w="0" w:type="dxa"/>
            <w:left w:w="108" w:type="dxa"/>
            <w:bottom w:w="0" w:type="dxa"/>
            <w:right w:w="108" w:type="dxa"/>
          </w:tblCellMar>
        </w:tblPrEx>
        <w:trPr>
          <w:trHeight w:val="669" w:hRule="atLeast"/>
        </w:trPr>
        <w:tc>
          <w:tcPr>
            <w:tcW w:w="740" w:type="dxa"/>
            <w:tcBorders>
              <w:top w:val="single" w:color="000000" w:sz="2" w:space="0"/>
              <w:left w:val="single" w:color="auto" w:sz="4" w:space="0"/>
              <w:bottom w:val="single" w:color="000000" w:sz="2" w:space="0"/>
              <w:right w:val="single" w:color="000000" w:sz="2" w:space="0"/>
            </w:tcBorders>
            <w:vAlign w:val="center"/>
          </w:tcPr>
          <w:p>
            <w:pPr>
              <w:pageBreakBefore w:val="0"/>
              <w:kinsoku/>
              <w:wordWrap/>
              <w:overflowPunct w:val="0"/>
              <w:topLinePunct w:val="0"/>
              <w:autoSpaceDE w:val="0"/>
              <w:autoSpaceDN w:val="0"/>
              <w:bidi w:val="0"/>
              <w:adjustRightInd w:val="0"/>
              <w:ind w:right="0" w:rightChars="0"/>
              <w:jc w:val="center"/>
              <w:rPr>
                <w:rFonts w:hint="eastAsia" w:ascii="宋体" w:hAnsi="宋体" w:eastAsia="宋体" w:cs="宋体"/>
                <w:kern w:val="0"/>
                <w:sz w:val="24"/>
                <w:szCs w:val="24"/>
                <w:lang w:val="zh-CN" w:eastAsia="zh-CN"/>
              </w:rPr>
            </w:pPr>
            <w:r>
              <w:rPr>
                <w:rFonts w:hint="eastAsia" w:ascii="宋体" w:hAnsi="宋体" w:cs="宋体"/>
                <w:kern w:val="0"/>
                <w:sz w:val="24"/>
                <w:szCs w:val="24"/>
                <w:lang w:val="en-US" w:eastAsia="zh-CN"/>
              </w:rPr>
              <w:t>4</w:t>
            </w:r>
          </w:p>
        </w:tc>
        <w:tc>
          <w:tcPr>
            <w:tcW w:w="2350" w:type="dxa"/>
            <w:tcBorders>
              <w:top w:val="single" w:color="000000" w:sz="2" w:space="0"/>
              <w:left w:val="single" w:color="000000" w:sz="2" w:space="0"/>
              <w:bottom w:val="single" w:color="000000" w:sz="2" w:space="0"/>
              <w:right w:val="single" w:color="000000" w:sz="2" w:space="0"/>
            </w:tcBorders>
            <w:vAlign w:val="center"/>
          </w:tcPr>
          <w:p>
            <w:pPr>
              <w:pageBreakBefore w:val="0"/>
              <w:kinsoku/>
              <w:wordWrap/>
              <w:overflowPunct w:val="0"/>
              <w:topLinePunct w:val="0"/>
              <w:autoSpaceDE w:val="0"/>
              <w:autoSpaceDN w:val="0"/>
              <w:bidi w:val="0"/>
              <w:adjustRightInd w:val="0"/>
              <w:ind w:right="0" w:rightChars="0"/>
              <w:jc w:val="center"/>
              <w:rPr>
                <w:rFonts w:hint="eastAsia" w:ascii="宋体" w:hAnsi="宋体" w:eastAsia="宋体" w:cs="宋体"/>
                <w:kern w:val="0"/>
                <w:sz w:val="24"/>
                <w:szCs w:val="24"/>
                <w:lang w:val="zh-CN"/>
              </w:rPr>
            </w:pPr>
            <w:r>
              <w:rPr>
                <w:rFonts w:hint="eastAsia" w:ascii="宋体" w:hAnsi="宋体" w:eastAsia="宋体" w:cs="宋体"/>
                <w:kern w:val="0"/>
                <w:sz w:val="24"/>
                <w:szCs w:val="24"/>
                <w:lang w:val="zh-CN"/>
              </w:rPr>
              <w:t>车用顶棚项目</w:t>
            </w:r>
          </w:p>
        </w:tc>
        <w:tc>
          <w:tcPr>
            <w:tcW w:w="5730" w:type="dxa"/>
            <w:tcBorders>
              <w:top w:val="single" w:color="000000" w:sz="2" w:space="0"/>
              <w:left w:val="single" w:color="000000" w:sz="2" w:space="0"/>
              <w:bottom w:val="single" w:color="000000" w:sz="2" w:space="0"/>
              <w:right w:val="single" w:color="auto" w:sz="4" w:space="0"/>
            </w:tcBorders>
            <w:vAlign w:val="center"/>
          </w:tcPr>
          <w:p>
            <w:pPr>
              <w:pageBreakBefore w:val="0"/>
              <w:kinsoku/>
              <w:wordWrap/>
              <w:overflowPunct w:val="0"/>
              <w:topLinePunct w:val="0"/>
              <w:autoSpaceDE w:val="0"/>
              <w:autoSpaceDN w:val="0"/>
              <w:bidi w:val="0"/>
              <w:adjustRightInd w:val="0"/>
              <w:ind w:right="0" w:rightChars="0"/>
              <w:jc w:val="left"/>
              <w:rPr>
                <w:rFonts w:hint="eastAsia" w:ascii="宋体" w:hAnsi="宋体" w:eastAsia="宋体" w:cs="宋体"/>
                <w:kern w:val="0"/>
                <w:sz w:val="24"/>
                <w:szCs w:val="24"/>
                <w:lang w:val="zh-CN"/>
              </w:rPr>
            </w:pPr>
            <w:r>
              <w:rPr>
                <w:rFonts w:hint="eastAsia" w:ascii="宋体" w:hAnsi="宋体" w:eastAsia="宋体" w:cs="宋体"/>
                <w:kern w:val="0"/>
                <w:sz w:val="24"/>
                <w:szCs w:val="24"/>
                <w:lang w:val="zh-CN"/>
              </w:rPr>
              <w:t>项目占地100亩，建设两条汽车顶棚生产线，年产10万套汽车顶棚。</w:t>
            </w:r>
          </w:p>
        </w:tc>
      </w:tr>
      <w:tr>
        <w:tblPrEx>
          <w:tblLayout w:type="fixed"/>
          <w:tblCellMar>
            <w:top w:w="0" w:type="dxa"/>
            <w:left w:w="108" w:type="dxa"/>
            <w:bottom w:w="0" w:type="dxa"/>
            <w:right w:w="108" w:type="dxa"/>
          </w:tblCellMar>
        </w:tblPrEx>
        <w:trPr>
          <w:trHeight w:val="918" w:hRule="atLeast"/>
        </w:trPr>
        <w:tc>
          <w:tcPr>
            <w:tcW w:w="740" w:type="dxa"/>
            <w:tcBorders>
              <w:top w:val="single" w:color="000000" w:sz="2" w:space="0"/>
              <w:left w:val="single" w:color="auto" w:sz="4" w:space="0"/>
              <w:bottom w:val="single" w:color="000000" w:sz="2" w:space="0"/>
              <w:right w:val="single" w:color="000000" w:sz="2" w:space="0"/>
            </w:tcBorders>
            <w:vAlign w:val="center"/>
          </w:tcPr>
          <w:p>
            <w:pPr>
              <w:pageBreakBefore w:val="0"/>
              <w:kinsoku/>
              <w:wordWrap/>
              <w:overflowPunct w:val="0"/>
              <w:topLinePunct w:val="0"/>
              <w:autoSpaceDE w:val="0"/>
              <w:autoSpaceDN w:val="0"/>
              <w:bidi w:val="0"/>
              <w:adjustRightInd w:val="0"/>
              <w:ind w:right="0" w:rightChars="0"/>
              <w:jc w:val="center"/>
              <w:rPr>
                <w:rFonts w:hint="eastAsia" w:ascii="宋体" w:hAnsi="宋体" w:eastAsia="宋体" w:cs="宋体"/>
                <w:kern w:val="0"/>
                <w:sz w:val="24"/>
                <w:szCs w:val="24"/>
                <w:lang w:val="zh-CN" w:eastAsia="zh-CN"/>
              </w:rPr>
            </w:pPr>
            <w:r>
              <w:rPr>
                <w:rFonts w:hint="eastAsia" w:ascii="宋体" w:hAnsi="宋体" w:cs="宋体"/>
                <w:kern w:val="0"/>
                <w:sz w:val="24"/>
                <w:szCs w:val="24"/>
                <w:lang w:val="en-US" w:eastAsia="zh-CN"/>
              </w:rPr>
              <w:t>5</w:t>
            </w:r>
          </w:p>
        </w:tc>
        <w:tc>
          <w:tcPr>
            <w:tcW w:w="2350" w:type="dxa"/>
            <w:tcBorders>
              <w:top w:val="single" w:color="000000" w:sz="2" w:space="0"/>
              <w:left w:val="single" w:color="000000" w:sz="2" w:space="0"/>
              <w:bottom w:val="single" w:color="000000" w:sz="2" w:space="0"/>
              <w:right w:val="single" w:color="000000" w:sz="2" w:space="0"/>
            </w:tcBorders>
            <w:vAlign w:val="center"/>
          </w:tcPr>
          <w:p>
            <w:pPr>
              <w:pageBreakBefore w:val="0"/>
              <w:kinsoku/>
              <w:wordWrap/>
              <w:overflowPunct w:val="0"/>
              <w:topLinePunct w:val="0"/>
              <w:autoSpaceDE w:val="0"/>
              <w:autoSpaceDN w:val="0"/>
              <w:bidi w:val="0"/>
              <w:adjustRightInd w:val="0"/>
              <w:ind w:right="0" w:rightChars="0"/>
              <w:jc w:val="center"/>
              <w:rPr>
                <w:rFonts w:hint="eastAsia" w:ascii="宋体" w:hAnsi="宋体" w:eastAsia="宋体" w:cs="宋体"/>
                <w:kern w:val="0"/>
                <w:sz w:val="24"/>
                <w:szCs w:val="24"/>
                <w:lang w:val="zh-CN"/>
              </w:rPr>
            </w:pPr>
            <w:r>
              <w:rPr>
                <w:rFonts w:hint="eastAsia" w:ascii="宋体" w:hAnsi="宋体" w:eastAsia="宋体" w:cs="宋体"/>
                <w:kern w:val="0"/>
                <w:sz w:val="24"/>
                <w:szCs w:val="24"/>
                <w:lang w:val="zh-CN"/>
              </w:rPr>
              <w:t>钢铁物流园区建设项目</w:t>
            </w:r>
          </w:p>
        </w:tc>
        <w:tc>
          <w:tcPr>
            <w:tcW w:w="5730" w:type="dxa"/>
            <w:tcBorders>
              <w:top w:val="single" w:color="000000" w:sz="2" w:space="0"/>
              <w:left w:val="single" w:color="000000" w:sz="2" w:space="0"/>
              <w:bottom w:val="single" w:color="000000" w:sz="2" w:space="0"/>
              <w:right w:val="single" w:color="auto" w:sz="4" w:space="0"/>
            </w:tcBorders>
            <w:vAlign w:val="center"/>
          </w:tcPr>
          <w:p>
            <w:pPr>
              <w:pageBreakBefore w:val="0"/>
              <w:kinsoku/>
              <w:wordWrap/>
              <w:overflowPunct w:val="0"/>
              <w:topLinePunct w:val="0"/>
              <w:autoSpaceDE w:val="0"/>
              <w:autoSpaceDN w:val="0"/>
              <w:bidi w:val="0"/>
              <w:adjustRightInd w:val="0"/>
              <w:ind w:right="0" w:rightChars="0"/>
              <w:jc w:val="left"/>
              <w:rPr>
                <w:rFonts w:hint="eastAsia" w:ascii="宋体" w:hAnsi="宋体" w:eastAsia="宋体" w:cs="宋体"/>
                <w:kern w:val="0"/>
                <w:sz w:val="24"/>
                <w:szCs w:val="24"/>
                <w:lang w:val="zh-CN"/>
              </w:rPr>
            </w:pPr>
            <w:r>
              <w:rPr>
                <w:rFonts w:hint="eastAsia" w:ascii="宋体" w:hAnsi="宋体" w:eastAsia="宋体" w:cs="宋体"/>
                <w:kern w:val="0"/>
                <w:sz w:val="24"/>
                <w:szCs w:val="24"/>
                <w:lang w:val="zh-CN"/>
              </w:rPr>
              <w:t>项目占地4500亩，建设“六大片区”，分别为仓储物流区、商贸交易区、中心商务区、加工配送区、综合服务区及发展备用区。</w:t>
            </w:r>
          </w:p>
        </w:tc>
      </w:tr>
      <w:tr>
        <w:tblPrEx>
          <w:tblLayout w:type="fixed"/>
          <w:tblCellMar>
            <w:top w:w="0" w:type="dxa"/>
            <w:left w:w="108" w:type="dxa"/>
            <w:bottom w:w="0" w:type="dxa"/>
            <w:right w:w="108" w:type="dxa"/>
          </w:tblCellMar>
        </w:tblPrEx>
        <w:trPr>
          <w:trHeight w:val="447" w:hRule="atLeast"/>
        </w:trPr>
        <w:tc>
          <w:tcPr>
            <w:tcW w:w="740" w:type="dxa"/>
            <w:tcBorders>
              <w:top w:val="single" w:color="000000" w:sz="2" w:space="0"/>
              <w:left w:val="single" w:color="auto" w:sz="4" w:space="0"/>
              <w:bottom w:val="single" w:color="000000" w:sz="2" w:space="0"/>
              <w:right w:val="single" w:color="000000" w:sz="2" w:space="0"/>
            </w:tcBorders>
            <w:vAlign w:val="center"/>
          </w:tcPr>
          <w:p>
            <w:pPr>
              <w:pageBreakBefore w:val="0"/>
              <w:kinsoku/>
              <w:wordWrap/>
              <w:overflowPunct w:val="0"/>
              <w:topLinePunct w:val="0"/>
              <w:autoSpaceDE w:val="0"/>
              <w:autoSpaceDN w:val="0"/>
              <w:bidi w:val="0"/>
              <w:adjustRightInd w:val="0"/>
              <w:ind w:right="0" w:rightChars="0"/>
              <w:jc w:val="center"/>
              <w:rPr>
                <w:rFonts w:hint="eastAsia" w:ascii="宋体" w:hAnsi="宋体" w:eastAsia="宋体" w:cs="宋体"/>
                <w:kern w:val="0"/>
                <w:sz w:val="24"/>
                <w:szCs w:val="24"/>
                <w:lang w:val="zh-CN" w:eastAsia="zh-CN"/>
              </w:rPr>
            </w:pPr>
            <w:r>
              <w:rPr>
                <w:rFonts w:hint="eastAsia" w:ascii="宋体" w:hAnsi="宋体" w:cs="宋体"/>
                <w:kern w:val="0"/>
                <w:sz w:val="24"/>
                <w:szCs w:val="24"/>
                <w:lang w:val="en-US" w:eastAsia="zh-CN"/>
              </w:rPr>
              <w:t>6</w:t>
            </w:r>
          </w:p>
        </w:tc>
        <w:tc>
          <w:tcPr>
            <w:tcW w:w="2350" w:type="dxa"/>
            <w:tcBorders>
              <w:top w:val="single" w:color="000000" w:sz="2" w:space="0"/>
              <w:left w:val="single" w:color="000000" w:sz="2" w:space="0"/>
              <w:bottom w:val="single" w:color="000000" w:sz="2" w:space="0"/>
              <w:right w:val="single" w:color="000000" w:sz="2" w:space="0"/>
            </w:tcBorders>
            <w:vAlign w:val="center"/>
          </w:tcPr>
          <w:p>
            <w:pPr>
              <w:pageBreakBefore w:val="0"/>
              <w:kinsoku/>
              <w:wordWrap/>
              <w:overflowPunct w:val="0"/>
              <w:topLinePunct w:val="0"/>
              <w:autoSpaceDE w:val="0"/>
              <w:autoSpaceDN w:val="0"/>
              <w:bidi w:val="0"/>
              <w:adjustRightInd w:val="0"/>
              <w:ind w:right="0" w:rightChars="0"/>
              <w:jc w:val="center"/>
              <w:rPr>
                <w:rFonts w:hint="eastAsia" w:ascii="宋体" w:hAnsi="宋体" w:eastAsia="宋体" w:cs="宋体"/>
                <w:kern w:val="0"/>
                <w:sz w:val="24"/>
                <w:szCs w:val="24"/>
                <w:lang w:val="zh-CN"/>
              </w:rPr>
            </w:pPr>
            <w:r>
              <w:rPr>
                <w:rFonts w:hint="eastAsia" w:ascii="宋体" w:hAnsi="宋体" w:cs="宋体"/>
                <w:kern w:val="0"/>
                <w:sz w:val="24"/>
                <w:szCs w:val="24"/>
                <w:lang w:val="zh-CN"/>
              </w:rPr>
              <w:t>东海</w:t>
            </w:r>
            <w:r>
              <w:rPr>
                <w:rFonts w:hint="eastAsia" w:ascii="宋体" w:hAnsi="宋体" w:eastAsia="宋体" w:cs="宋体"/>
                <w:kern w:val="0"/>
                <w:sz w:val="24"/>
                <w:szCs w:val="24"/>
                <w:lang w:val="zh-CN"/>
              </w:rPr>
              <w:t>冷链物流项目</w:t>
            </w:r>
          </w:p>
        </w:tc>
        <w:tc>
          <w:tcPr>
            <w:tcW w:w="5730" w:type="dxa"/>
            <w:tcBorders>
              <w:top w:val="single" w:color="000000" w:sz="2" w:space="0"/>
              <w:left w:val="single" w:color="000000" w:sz="2" w:space="0"/>
              <w:bottom w:val="single" w:color="000000" w:sz="2" w:space="0"/>
              <w:right w:val="single" w:color="auto" w:sz="4" w:space="0"/>
            </w:tcBorders>
            <w:vAlign w:val="center"/>
          </w:tcPr>
          <w:p>
            <w:pPr>
              <w:pageBreakBefore w:val="0"/>
              <w:kinsoku/>
              <w:wordWrap/>
              <w:overflowPunct w:val="0"/>
              <w:topLinePunct w:val="0"/>
              <w:autoSpaceDE w:val="0"/>
              <w:autoSpaceDN w:val="0"/>
              <w:bidi w:val="0"/>
              <w:adjustRightInd w:val="0"/>
              <w:ind w:right="0" w:rightChars="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zh-CN"/>
              </w:rPr>
              <w:t>建设10万吨冷库</w:t>
            </w:r>
            <w:r>
              <w:rPr>
                <w:rFonts w:hint="eastAsia" w:ascii="宋体" w:hAnsi="宋体" w:cs="宋体"/>
                <w:kern w:val="0"/>
                <w:sz w:val="24"/>
                <w:szCs w:val="24"/>
                <w:lang w:val="zh-CN"/>
              </w:rPr>
              <w:t>。</w:t>
            </w:r>
          </w:p>
        </w:tc>
      </w:tr>
      <w:tr>
        <w:tblPrEx>
          <w:tblLayout w:type="fixed"/>
          <w:tblCellMar>
            <w:top w:w="0" w:type="dxa"/>
            <w:left w:w="108" w:type="dxa"/>
            <w:bottom w:w="0" w:type="dxa"/>
            <w:right w:w="108" w:type="dxa"/>
          </w:tblCellMar>
        </w:tblPrEx>
        <w:trPr>
          <w:trHeight w:val="739" w:hRule="atLeast"/>
        </w:trPr>
        <w:tc>
          <w:tcPr>
            <w:tcW w:w="740" w:type="dxa"/>
            <w:tcBorders>
              <w:top w:val="single" w:color="000000" w:sz="2" w:space="0"/>
              <w:left w:val="single" w:color="auto" w:sz="4" w:space="0"/>
              <w:bottom w:val="single" w:color="000000" w:sz="2" w:space="0"/>
              <w:right w:val="single" w:color="000000" w:sz="2" w:space="0"/>
            </w:tcBorders>
            <w:vAlign w:val="center"/>
          </w:tcPr>
          <w:p>
            <w:pPr>
              <w:pageBreakBefore w:val="0"/>
              <w:kinsoku/>
              <w:wordWrap/>
              <w:overflowPunct w:val="0"/>
              <w:topLinePunct w:val="0"/>
              <w:autoSpaceDE w:val="0"/>
              <w:autoSpaceDN w:val="0"/>
              <w:bidi w:val="0"/>
              <w:adjustRightInd w:val="0"/>
              <w:ind w:right="0" w:rightChars="0"/>
              <w:jc w:val="center"/>
              <w:rPr>
                <w:rFonts w:hint="eastAsia" w:ascii="宋体" w:hAnsi="宋体" w:eastAsia="宋体" w:cs="宋体"/>
                <w:kern w:val="0"/>
                <w:sz w:val="24"/>
                <w:szCs w:val="24"/>
                <w:lang w:val="zh-CN" w:eastAsia="zh-CN"/>
              </w:rPr>
            </w:pPr>
            <w:r>
              <w:rPr>
                <w:rFonts w:hint="eastAsia" w:ascii="宋体" w:hAnsi="宋体" w:cs="宋体"/>
                <w:kern w:val="0"/>
                <w:sz w:val="24"/>
                <w:szCs w:val="24"/>
                <w:lang w:val="en-US" w:eastAsia="zh-CN"/>
              </w:rPr>
              <w:t>7</w:t>
            </w:r>
          </w:p>
        </w:tc>
        <w:tc>
          <w:tcPr>
            <w:tcW w:w="2350" w:type="dxa"/>
            <w:tcBorders>
              <w:top w:val="single" w:color="000000" w:sz="2" w:space="0"/>
              <w:left w:val="single" w:color="000000" w:sz="2" w:space="0"/>
              <w:bottom w:val="single" w:color="000000" w:sz="2" w:space="0"/>
              <w:right w:val="single" w:color="000000" w:sz="2" w:space="0"/>
            </w:tcBorders>
            <w:vAlign w:val="center"/>
          </w:tcPr>
          <w:p>
            <w:pPr>
              <w:pageBreakBefore w:val="0"/>
              <w:kinsoku/>
              <w:wordWrap/>
              <w:overflowPunct w:val="0"/>
              <w:topLinePunct w:val="0"/>
              <w:autoSpaceDE w:val="0"/>
              <w:autoSpaceDN w:val="0"/>
              <w:bidi w:val="0"/>
              <w:adjustRightInd w:val="0"/>
              <w:ind w:right="0" w:rightChars="0"/>
              <w:jc w:val="center"/>
              <w:rPr>
                <w:rFonts w:hint="eastAsia" w:ascii="宋体" w:hAnsi="宋体" w:eastAsia="宋体" w:cs="宋体"/>
                <w:kern w:val="0"/>
                <w:sz w:val="24"/>
                <w:szCs w:val="24"/>
                <w:lang w:val="zh-CN"/>
              </w:rPr>
            </w:pPr>
            <w:r>
              <w:rPr>
                <w:rFonts w:hint="eastAsia" w:ascii="宋体" w:hAnsi="宋体" w:eastAsia="宋体" w:cs="宋体"/>
                <w:kern w:val="0"/>
                <w:sz w:val="24"/>
                <w:szCs w:val="24"/>
                <w:lang w:val="zh-CN"/>
              </w:rPr>
              <w:t>无纺针刺过滤毡系列产品扩能改造</w:t>
            </w:r>
          </w:p>
          <w:p>
            <w:pPr>
              <w:pageBreakBefore w:val="0"/>
              <w:kinsoku/>
              <w:wordWrap/>
              <w:overflowPunct w:val="0"/>
              <w:topLinePunct w:val="0"/>
              <w:autoSpaceDE w:val="0"/>
              <w:autoSpaceDN w:val="0"/>
              <w:bidi w:val="0"/>
              <w:adjustRightInd w:val="0"/>
              <w:ind w:right="0" w:rightChars="0"/>
              <w:jc w:val="center"/>
              <w:rPr>
                <w:rFonts w:hint="eastAsia" w:ascii="宋体" w:hAnsi="宋体" w:eastAsia="宋体" w:cs="宋体"/>
                <w:kern w:val="0"/>
                <w:sz w:val="24"/>
                <w:szCs w:val="24"/>
                <w:lang w:val="zh-CN"/>
              </w:rPr>
            </w:pPr>
            <w:r>
              <w:rPr>
                <w:rFonts w:hint="eastAsia" w:ascii="宋体" w:hAnsi="宋体" w:eastAsia="宋体" w:cs="宋体"/>
                <w:kern w:val="0"/>
                <w:sz w:val="24"/>
                <w:szCs w:val="24"/>
                <w:lang w:val="zh-CN"/>
              </w:rPr>
              <w:t>项目</w:t>
            </w:r>
          </w:p>
        </w:tc>
        <w:tc>
          <w:tcPr>
            <w:tcW w:w="5730" w:type="dxa"/>
            <w:tcBorders>
              <w:top w:val="single" w:color="000000" w:sz="2" w:space="0"/>
              <w:left w:val="single" w:color="000000" w:sz="2" w:space="0"/>
              <w:bottom w:val="single" w:color="000000" w:sz="2" w:space="0"/>
              <w:right w:val="single" w:color="auto" w:sz="4" w:space="0"/>
            </w:tcBorders>
            <w:vAlign w:val="center"/>
          </w:tcPr>
          <w:p>
            <w:pPr>
              <w:pageBreakBefore w:val="0"/>
              <w:kinsoku/>
              <w:wordWrap/>
              <w:overflowPunct w:val="0"/>
              <w:topLinePunct w:val="0"/>
              <w:autoSpaceDE w:val="0"/>
              <w:autoSpaceDN w:val="0"/>
              <w:bidi w:val="0"/>
              <w:adjustRightInd w:val="0"/>
              <w:ind w:right="0" w:rightChars="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zh-CN"/>
              </w:rPr>
              <w:t>生产无纺针刺过滤毡系列产品2000万平方米</w:t>
            </w:r>
            <w:r>
              <w:rPr>
                <w:rFonts w:hint="eastAsia" w:ascii="宋体" w:hAnsi="宋体" w:cs="宋体"/>
                <w:kern w:val="0"/>
                <w:sz w:val="24"/>
                <w:szCs w:val="24"/>
                <w:lang w:val="zh-CN"/>
              </w:rPr>
              <w:t>。</w:t>
            </w:r>
          </w:p>
        </w:tc>
      </w:tr>
      <w:tr>
        <w:tblPrEx>
          <w:tblLayout w:type="fixed"/>
          <w:tblCellMar>
            <w:top w:w="0" w:type="dxa"/>
            <w:left w:w="108" w:type="dxa"/>
            <w:bottom w:w="0" w:type="dxa"/>
            <w:right w:w="108" w:type="dxa"/>
          </w:tblCellMar>
        </w:tblPrEx>
        <w:trPr>
          <w:trHeight w:val="447" w:hRule="atLeast"/>
        </w:trPr>
        <w:tc>
          <w:tcPr>
            <w:tcW w:w="740" w:type="dxa"/>
            <w:tcBorders>
              <w:top w:val="single" w:color="000000" w:sz="2" w:space="0"/>
              <w:left w:val="single" w:color="auto" w:sz="4" w:space="0"/>
              <w:bottom w:val="single" w:color="000000" w:sz="2" w:space="0"/>
              <w:right w:val="single" w:color="000000" w:sz="2" w:space="0"/>
            </w:tcBorders>
            <w:vAlign w:val="center"/>
          </w:tcPr>
          <w:p>
            <w:pPr>
              <w:pageBreakBefore w:val="0"/>
              <w:kinsoku/>
              <w:wordWrap/>
              <w:overflowPunct w:val="0"/>
              <w:topLinePunct w:val="0"/>
              <w:autoSpaceDE w:val="0"/>
              <w:autoSpaceDN w:val="0"/>
              <w:bidi w:val="0"/>
              <w:adjustRightInd w:val="0"/>
              <w:ind w:right="0" w:rightChars="0"/>
              <w:jc w:val="center"/>
              <w:rPr>
                <w:rFonts w:hint="eastAsia" w:ascii="宋体" w:hAnsi="宋体" w:eastAsia="宋体" w:cs="宋体"/>
                <w:kern w:val="0"/>
                <w:sz w:val="24"/>
                <w:szCs w:val="24"/>
                <w:lang w:val="zh-CN" w:eastAsia="zh-CN"/>
              </w:rPr>
            </w:pPr>
            <w:r>
              <w:rPr>
                <w:rFonts w:hint="eastAsia" w:ascii="宋体" w:hAnsi="宋体" w:cs="宋体"/>
                <w:kern w:val="0"/>
                <w:sz w:val="24"/>
                <w:szCs w:val="24"/>
                <w:lang w:val="en-US" w:eastAsia="zh-CN"/>
              </w:rPr>
              <w:t>8</w:t>
            </w:r>
          </w:p>
        </w:tc>
        <w:tc>
          <w:tcPr>
            <w:tcW w:w="2350" w:type="dxa"/>
            <w:tcBorders>
              <w:top w:val="single" w:color="000000" w:sz="2" w:space="0"/>
              <w:left w:val="single" w:color="000000" w:sz="2" w:space="0"/>
              <w:bottom w:val="single" w:color="000000" w:sz="2" w:space="0"/>
              <w:right w:val="single" w:color="000000" w:sz="2" w:space="0"/>
            </w:tcBorders>
            <w:vAlign w:val="center"/>
          </w:tcPr>
          <w:p>
            <w:pPr>
              <w:pageBreakBefore w:val="0"/>
              <w:kinsoku/>
              <w:wordWrap/>
              <w:overflowPunct w:val="0"/>
              <w:topLinePunct w:val="0"/>
              <w:autoSpaceDE w:val="0"/>
              <w:autoSpaceDN w:val="0"/>
              <w:bidi w:val="0"/>
              <w:adjustRightInd w:val="0"/>
              <w:ind w:right="0" w:rightChars="0"/>
              <w:jc w:val="center"/>
              <w:rPr>
                <w:rFonts w:hint="eastAsia" w:ascii="宋体" w:hAnsi="宋体" w:eastAsia="宋体" w:cs="宋体"/>
                <w:kern w:val="0"/>
                <w:sz w:val="24"/>
                <w:szCs w:val="24"/>
                <w:lang w:val="zh-CN"/>
              </w:rPr>
            </w:pPr>
            <w:r>
              <w:rPr>
                <w:rFonts w:hint="eastAsia" w:ascii="宋体" w:hAnsi="宋体" w:eastAsia="宋体" w:cs="宋体"/>
                <w:kern w:val="0"/>
                <w:sz w:val="24"/>
                <w:szCs w:val="24"/>
                <w:lang w:val="zh-CN"/>
              </w:rPr>
              <w:t>农业机械项目</w:t>
            </w:r>
          </w:p>
        </w:tc>
        <w:tc>
          <w:tcPr>
            <w:tcW w:w="5730" w:type="dxa"/>
            <w:tcBorders>
              <w:top w:val="single" w:color="000000" w:sz="2" w:space="0"/>
              <w:left w:val="single" w:color="000000" w:sz="2" w:space="0"/>
              <w:bottom w:val="single" w:color="000000" w:sz="2" w:space="0"/>
              <w:right w:val="single" w:color="auto" w:sz="4" w:space="0"/>
            </w:tcBorders>
            <w:vAlign w:val="center"/>
          </w:tcPr>
          <w:p>
            <w:pPr>
              <w:pageBreakBefore w:val="0"/>
              <w:kinsoku/>
              <w:wordWrap/>
              <w:overflowPunct w:val="0"/>
              <w:topLinePunct w:val="0"/>
              <w:autoSpaceDE w:val="0"/>
              <w:autoSpaceDN w:val="0"/>
              <w:bidi w:val="0"/>
              <w:adjustRightInd w:val="0"/>
              <w:ind w:right="0" w:rightChars="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zh-CN"/>
              </w:rPr>
              <w:t>生产1000万台农机</w:t>
            </w:r>
          </w:p>
        </w:tc>
      </w:tr>
      <w:tr>
        <w:tblPrEx>
          <w:tblLayout w:type="fixed"/>
          <w:tblCellMar>
            <w:top w:w="0" w:type="dxa"/>
            <w:left w:w="108" w:type="dxa"/>
            <w:bottom w:w="0" w:type="dxa"/>
            <w:right w:w="108" w:type="dxa"/>
          </w:tblCellMar>
        </w:tblPrEx>
        <w:trPr>
          <w:trHeight w:val="447" w:hRule="atLeast"/>
        </w:trPr>
        <w:tc>
          <w:tcPr>
            <w:tcW w:w="740" w:type="dxa"/>
            <w:tcBorders>
              <w:top w:val="single" w:color="000000" w:sz="2" w:space="0"/>
              <w:left w:val="single" w:color="auto" w:sz="4" w:space="0"/>
              <w:bottom w:val="single" w:color="auto" w:sz="4" w:space="0"/>
              <w:right w:val="single" w:color="000000" w:sz="2" w:space="0"/>
            </w:tcBorders>
            <w:vAlign w:val="center"/>
          </w:tcPr>
          <w:p>
            <w:pPr>
              <w:pageBreakBefore w:val="0"/>
              <w:kinsoku/>
              <w:wordWrap/>
              <w:overflowPunct w:val="0"/>
              <w:topLinePunct w:val="0"/>
              <w:autoSpaceDE w:val="0"/>
              <w:autoSpaceDN w:val="0"/>
              <w:bidi w:val="0"/>
              <w:adjustRightInd w:val="0"/>
              <w:ind w:right="0" w:rightChars="0"/>
              <w:jc w:val="center"/>
              <w:rPr>
                <w:rFonts w:hint="eastAsia" w:ascii="宋体" w:hAnsi="宋体" w:cs="宋体"/>
                <w:kern w:val="0"/>
                <w:sz w:val="24"/>
                <w:szCs w:val="24"/>
                <w:lang w:val="en-US" w:eastAsia="zh-CN"/>
              </w:rPr>
            </w:pPr>
            <w:r>
              <w:rPr>
                <w:rFonts w:hint="eastAsia" w:ascii="宋体" w:hAnsi="宋体" w:cs="宋体"/>
                <w:kern w:val="0"/>
                <w:sz w:val="24"/>
                <w:szCs w:val="24"/>
                <w:lang w:val="en-US" w:eastAsia="zh-CN"/>
              </w:rPr>
              <w:t>9</w:t>
            </w:r>
          </w:p>
        </w:tc>
        <w:tc>
          <w:tcPr>
            <w:tcW w:w="2350" w:type="dxa"/>
            <w:tcBorders>
              <w:top w:val="single" w:color="000000" w:sz="2" w:space="0"/>
              <w:left w:val="single" w:color="000000" w:sz="2" w:space="0"/>
              <w:bottom w:val="single" w:color="auto" w:sz="4" w:space="0"/>
              <w:right w:val="single" w:color="000000" w:sz="2" w:space="0"/>
            </w:tcBorders>
            <w:vAlign w:val="center"/>
          </w:tcPr>
          <w:p>
            <w:pPr>
              <w:pageBreakBefore w:val="0"/>
              <w:kinsoku/>
              <w:wordWrap/>
              <w:overflowPunct w:val="0"/>
              <w:topLinePunct w:val="0"/>
              <w:autoSpaceDE w:val="0"/>
              <w:autoSpaceDN w:val="0"/>
              <w:bidi w:val="0"/>
              <w:adjustRightInd w:val="0"/>
              <w:ind w:right="0" w:rightChars="0"/>
              <w:jc w:val="center"/>
              <w:rPr>
                <w:rFonts w:hint="eastAsia" w:ascii="宋体" w:hAnsi="宋体" w:eastAsia="宋体" w:cs="宋体"/>
                <w:kern w:val="0"/>
                <w:sz w:val="24"/>
                <w:szCs w:val="24"/>
                <w:lang w:val="zh-CN"/>
              </w:rPr>
            </w:pPr>
            <w:r>
              <w:rPr>
                <w:rFonts w:hint="eastAsia" w:ascii="宋体" w:hAnsi="宋体" w:cs="宋体"/>
                <w:kern w:val="0"/>
                <w:sz w:val="24"/>
                <w:szCs w:val="24"/>
                <w:lang w:val="zh-CN"/>
              </w:rPr>
              <w:t>华誉新型墙体材料项目</w:t>
            </w:r>
          </w:p>
        </w:tc>
        <w:tc>
          <w:tcPr>
            <w:tcW w:w="5730" w:type="dxa"/>
            <w:tcBorders>
              <w:top w:val="single" w:color="000000" w:sz="2" w:space="0"/>
              <w:left w:val="single" w:color="000000" w:sz="2" w:space="0"/>
              <w:bottom w:val="single" w:color="auto" w:sz="4" w:space="0"/>
              <w:right w:val="single" w:color="auto" w:sz="4" w:space="0"/>
            </w:tcBorders>
            <w:vAlign w:val="center"/>
          </w:tcPr>
          <w:p>
            <w:pPr>
              <w:pageBreakBefore w:val="0"/>
              <w:kinsoku/>
              <w:wordWrap/>
              <w:overflowPunct w:val="0"/>
              <w:topLinePunct w:val="0"/>
              <w:autoSpaceDE w:val="0"/>
              <w:autoSpaceDN w:val="0"/>
              <w:bidi w:val="0"/>
              <w:adjustRightInd w:val="0"/>
              <w:ind w:right="0" w:rightChars="0"/>
              <w:jc w:val="left"/>
              <w:rPr>
                <w:rFonts w:hint="eastAsia" w:ascii="宋体" w:hAnsi="宋体" w:eastAsia="宋体" w:cs="宋体"/>
                <w:kern w:val="0"/>
                <w:sz w:val="24"/>
                <w:szCs w:val="24"/>
                <w:lang w:val="zh-CN"/>
              </w:rPr>
            </w:pPr>
            <w:r>
              <w:rPr>
                <w:rFonts w:hint="eastAsia" w:ascii="宋体" w:hAnsi="宋体" w:eastAsia="宋体" w:cs="宋体"/>
                <w:kern w:val="0"/>
                <w:sz w:val="24"/>
                <w:szCs w:val="24"/>
                <w:lang w:val="zh-CN"/>
              </w:rPr>
              <w:t>主要生产填充砌块、承重砌块、保温砌块、屋面板、隔墙板、外墙板和楼板等新型墙体材料。</w:t>
            </w:r>
          </w:p>
        </w:tc>
      </w:tr>
    </w:tbl>
    <w:p>
      <w:pPr>
        <w:pStyle w:val="3"/>
        <w:keepNext/>
        <w:keepLines/>
        <w:pageBreakBefore w:val="0"/>
        <w:widowControl w:val="0"/>
        <w:kinsoku/>
        <w:wordWrap/>
        <w:overflowPunct/>
        <w:topLinePunct w:val="0"/>
        <w:autoSpaceDE/>
        <w:autoSpaceDN/>
        <w:bidi w:val="0"/>
        <w:adjustRightInd/>
        <w:snapToGrid/>
        <w:spacing w:before="260" w:beforeLines="0" w:after="260" w:afterLines="0" w:line="240" w:lineRule="exact"/>
        <w:ind w:left="0" w:leftChars="0" w:right="0" w:rightChars="0" w:firstLine="0" w:firstLineChars="0"/>
        <w:jc w:val="center"/>
        <w:textAlignment w:val="auto"/>
        <w:outlineLvl w:val="1"/>
        <w:rPr>
          <w:rFonts w:hint="eastAsia"/>
        </w:rPr>
      </w:pPr>
    </w:p>
    <w:p>
      <w:pPr>
        <w:pStyle w:val="3"/>
        <w:rPr>
          <w:rFonts w:hint="eastAsia"/>
        </w:rPr>
      </w:pPr>
      <w:bookmarkStart w:id="20" w:name="_Toc13692"/>
      <w:r>
        <w:rPr>
          <w:rFonts w:hint="eastAsia"/>
        </w:rPr>
        <w:t>第</w:t>
      </w:r>
      <w:r>
        <w:rPr>
          <w:rFonts w:hint="eastAsia"/>
          <w:lang w:eastAsia="zh-CN"/>
        </w:rPr>
        <w:t>三</w:t>
      </w:r>
      <w:r>
        <w:rPr>
          <w:rFonts w:hint="eastAsia"/>
        </w:rPr>
        <w:t>节  加快西部现代服务业集聚区建设</w:t>
      </w:r>
      <w:bookmarkEnd w:id="20"/>
    </w:p>
    <w:p>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eastAsia="仿宋_GB2312"/>
          <w:sz w:val="24"/>
          <w:szCs w:val="24"/>
        </w:rPr>
      </w:pPr>
    </w:p>
    <w:p>
      <w:pPr>
        <w:pageBreakBefore w:val="0"/>
        <w:kinsoku/>
        <w:wordWrap/>
        <w:overflowPunct w:val="0"/>
        <w:topLinePunct w:val="0"/>
        <w:bidi w:val="0"/>
        <w:ind w:right="0" w:rightChars="0" w:firstLine="640" w:firstLineChars="200"/>
        <w:rPr>
          <w:rFonts w:hint="eastAsia" w:ascii="仿宋_GB2312" w:eastAsia="仿宋_GB2312"/>
          <w:sz w:val="32"/>
          <w:szCs w:val="32"/>
        </w:rPr>
      </w:pPr>
      <w:r>
        <w:rPr>
          <w:rFonts w:hint="eastAsia" w:ascii="仿宋_GB2312" w:eastAsia="仿宋_GB2312"/>
          <w:sz w:val="32"/>
          <w:szCs w:val="32"/>
        </w:rPr>
        <w:t>主动融入沈阳经济圈，借力沈抚同城化发展，大力实施“退二进三”，积极推进新钢铁及周边企业搬迁，加强生态环境治理，完善城市功能，依托东北网贸港和东北金属交易中心建设，培育现代服务业集聚区，打造以雷锋路贯穿新区东西的第三产业发展带。到2020年，建成经济繁荣、功能完善、生态宜居的现代化新城区。</w:t>
      </w:r>
    </w:p>
    <w:p>
      <w:pPr>
        <w:pageBreakBefore w:val="0"/>
        <w:kinsoku/>
        <w:wordWrap/>
        <w:overflowPunct w:val="0"/>
        <w:topLinePunct w:val="0"/>
        <w:bidi w:val="0"/>
        <w:ind w:right="0" w:rightChars="0"/>
        <w:jc w:val="center"/>
        <w:rPr>
          <w:rFonts w:hint="eastAsia" w:ascii="仿宋_GB2312" w:eastAsia="仿宋_GB2312"/>
          <w:b/>
          <w:bCs/>
          <w:sz w:val="32"/>
          <w:szCs w:val="32"/>
          <w:lang w:eastAsia="zh-CN"/>
        </w:rPr>
      </w:pPr>
      <w:r>
        <w:rPr>
          <w:rFonts w:hint="eastAsia" w:ascii="仿宋_GB2312" w:eastAsia="仿宋_GB2312"/>
          <w:b/>
          <w:bCs/>
          <w:sz w:val="32"/>
          <w:szCs w:val="32"/>
          <w:lang w:eastAsia="zh-CN"/>
        </w:rPr>
        <w:t>西部现代服务业集聚区功能区布局图</w:t>
      </w:r>
    </w:p>
    <w:p>
      <w:pPr>
        <w:pageBreakBefore w:val="0"/>
        <w:kinsoku/>
        <w:wordWrap/>
        <w:overflowPunct w:val="0"/>
        <w:topLinePunct w:val="0"/>
        <w:bidi w:val="0"/>
        <w:ind w:right="0" w:rightChars="0"/>
        <w:jc w:val="center"/>
        <w:rPr>
          <w:rFonts w:hint="eastAsia" w:ascii="仿宋_GB2312" w:eastAsia="仿宋_GB2312"/>
          <w:b/>
          <w:bCs/>
          <w:sz w:val="32"/>
          <w:szCs w:val="32"/>
          <w:lang w:eastAsia="zh-CN"/>
        </w:rPr>
      </w:pPr>
      <w:r>
        <w:rPr>
          <w:rFonts w:hint="eastAsia" w:ascii="仿宋_GB2312" w:eastAsia="仿宋_GB2312"/>
          <w:b/>
          <w:bCs/>
          <w:sz w:val="32"/>
          <w:szCs w:val="32"/>
          <w:lang w:eastAsia="zh-CN"/>
        </w:rPr>
        <w:drawing>
          <wp:inline distT="0" distB="0" distL="114300" distR="114300">
            <wp:extent cx="5612765" cy="4062730"/>
            <wp:effectExtent l="0" t="0" r="6985" b="13970"/>
            <wp:docPr id="3" name="图片 3" descr="图片1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1_看图王"/>
                    <pic:cNvPicPr>
                      <a:picLocks noChangeAspect="1"/>
                    </pic:cNvPicPr>
                  </pic:nvPicPr>
                  <pic:blipFill>
                    <a:blip r:embed="rId14"/>
                    <a:srcRect/>
                    <a:stretch>
                      <a:fillRect/>
                    </a:stretch>
                  </pic:blipFill>
                  <pic:spPr>
                    <a:xfrm>
                      <a:off x="0" y="0"/>
                      <a:ext cx="5612765" cy="4062730"/>
                    </a:xfrm>
                    <a:prstGeom prst="rect">
                      <a:avLst/>
                    </a:prstGeom>
                    <a:noFill/>
                    <a:ln w="9525">
                      <a:noFill/>
                      <a:miter/>
                    </a:ln>
                  </pic:spPr>
                </pic:pic>
              </a:graphicData>
            </a:graphic>
          </wp:inline>
        </w:drawing>
      </w:r>
    </w:p>
    <w:p>
      <w:pPr>
        <w:pageBreakBefore w:val="0"/>
        <w:kinsoku/>
        <w:wordWrap/>
        <w:overflowPunct w:val="0"/>
        <w:topLinePunct w:val="0"/>
        <w:bidi w:val="0"/>
        <w:ind w:right="0" w:rightChars="0" w:firstLine="640" w:firstLineChars="200"/>
        <w:rPr>
          <w:rFonts w:hint="eastAsia" w:ascii="仿宋_GB2312" w:eastAsia="仿宋_GB2312"/>
          <w:sz w:val="32"/>
          <w:szCs w:val="32"/>
          <w:lang w:val="en-US" w:eastAsia="zh-CN"/>
        </w:rPr>
      </w:pPr>
      <w:r>
        <w:rPr>
          <w:rFonts w:hint="eastAsia" w:ascii="仿宋_GB2312" w:eastAsia="仿宋_GB2312"/>
          <w:b/>
          <w:bCs/>
          <w:sz w:val="32"/>
          <w:szCs w:val="32"/>
          <w:lang w:val="en-US" w:eastAsia="zh-CN"/>
        </w:rPr>
        <w:t>打造文化创意产业区：</w:t>
      </w:r>
      <w:r>
        <w:rPr>
          <w:rFonts w:hint="eastAsia" w:ascii="仿宋_GB2312" w:eastAsia="仿宋_GB2312"/>
          <w:sz w:val="32"/>
          <w:szCs w:val="32"/>
          <w:lang w:val="en-US" w:eastAsia="zh-CN"/>
        </w:rPr>
        <w:t>依托雷锋城和老工业区的丰厚文化积淀，重点发展创意设计、动漫游戏、文化娱乐与休闲、数字传媒等行业，规划建设抚顺动漫产业园区、外包服务中心、动漫主题乐园、动漫科技教育培训基地，建成东北区域最具特色的高端化、国际化、专业化文化动漫产业群，着力打造国家级动漫产业基地。</w:t>
      </w:r>
    </w:p>
    <w:p>
      <w:pPr>
        <w:pageBreakBefore w:val="0"/>
        <w:kinsoku/>
        <w:wordWrap/>
        <w:overflowPunct w:val="0"/>
        <w:topLinePunct w:val="0"/>
        <w:bidi w:val="0"/>
        <w:ind w:right="0" w:rightChars="0" w:firstLine="640" w:firstLineChars="200"/>
        <w:rPr>
          <w:rFonts w:hint="eastAsia" w:ascii="仿宋_GB2312" w:eastAsia="仿宋_GB2312"/>
          <w:sz w:val="32"/>
          <w:szCs w:val="32"/>
          <w:lang w:val="en-US" w:eastAsia="zh-CN"/>
        </w:rPr>
      </w:pPr>
      <w:r>
        <w:rPr>
          <w:rFonts w:hint="eastAsia" w:ascii="仿宋_GB2312" w:eastAsia="仿宋_GB2312"/>
          <w:b/>
          <w:bCs/>
          <w:sz w:val="32"/>
          <w:szCs w:val="32"/>
          <w:lang w:val="en-US" w:eastAsia="zh-CN"/>
        </w:rPr>
        <w:t>打造工业商贸区：</w:t>
      </w:r>
      <w:r>
        <w:rPr>
          <w:rFonts w:hint="eastAsia" w:ascii="仿宋_GB2312" w:eastAsia="仿宋_GB2312"/>
          <w:sz w:val="32"/>
          <w:szCs w:val="32"/>
          <w:lang w:val="en-US" w:eastAsia="zh-CN"/>
        </w:rPr>
        <w:t>依托沈阳和沈抚新城，促进地区优势工业和信息化的融合，重点建设工业品商贸城、包装品商贸城、汽车超市和北部生活居住片区等四大主题功能区，以东北亚钢铁网电子商务带动，创建现代商贸流通平台，为区域工业企业提供配套支撑，实现商贸的实体经济与电子商务的虚拟经济相融合，打造抚顺工业商贸城。</w:t>
      </w:r>
    </w:p>
    <w:p>
      <w:pPr>
        <w:pageBreakBefore w:val="0"/>
        <w:kinsoku/>
        <w:wordWrap/>
        <w:overflowPunct w:val="0"/>
        <w:topLinePunct w:val="0"/>
        <w:bidi w:val="0"/>
        <w:ind w:right="0" w:rightChars="0" w:firstLine="640" w:firstLineChars="200"/>
        <w:rPr>
          <w:rFonts w:hint="eastAsia" w:ascii="仿宋_GB2312" w:eastAsia="仿宋_GB2312"/>
          <w:sz w:val="32"/>
          <w:szCs w:val="32"/>
          <w:lang w:val="en-US" w:eastAsia="zh-CN"/>
        </w:rPr>
      </w:pPr>
      <w:r>
        <w:rPr>
          <w:rFonts w:hint="eastAsia" w:ascii="仿宋_GB2312" w:eastAsia="仿宋_GB2312"/>
          <w:b/>
          <w:bCs/>
          <w:sz w:val="32"/>
          <w:szCs w:val="32"/>
          <w:lang w:val="en-US" w:eastAsia="zh-CN"/>
        </w:rPr>
        <w:t>打造电子商务产业区：</w:t>
      </w:r>
      <w:r>
        <w:rPr>
          <w:rFonts w:hint="eastAsia" w:ascii="仿宋_GB2312" w:eastAsia="仿宋_GB2312"/>
          <w:sz w:val="32"/>
          <w:szCs w:val="32"/>
          <w:lang w:val="en-US" w:eastAsia="zh-CN"/>
        </w:rPr>
        <w:t>充分发挥区位优势、产业优势和人才技术优势，加快电子商务载体建设和包装，打造以电子商务、商务会展、总部基地、金融保险、信息服务、商贸服务、网贸物流等为主导，以标志性总部大厦、会展中心、星级酒店、服务式公寓等业态为重点，以网络数字贸易港为核心的现代服务产业区。</w:t>
      </w:r>
    </w:p>
    <w:p>
      <w:pPr>
        <w:pageBreakBefore w:val="0"/>
        <w:kinsoku/>
        <w:wordWrap/>
        <w:overflowPunct w:val="0"/>
        <w:topLinePunct w:val="0"/>
        <w:bidi w:val="0"/>
        <w:ind w:right="0" w:rightChars="0" w:firstLine="640" w:firstLineChars="200"/>
        <w:rPr>
          <w:rFonts w:hint="eastAsia" w:ascii="仿宋_GB2312" w:eastAsia="仿宋_GB2312"/>
          <w:sz w:val="32"/>
          <w:szCs w:val="32"/>
          <w:lang w:val="en-US" w:eastAsia="zh-CN"/>
        </w:rPr>
      </w:pPr>
      <w:r>
        <w:rPr>
          <w:rFonts w:hint="eastAsia" w:ascii="仿宋_GB2312" w:eastAsia="仿宋_GB2312"/>
          <w:b/>
          <w:bCs/>
          <w:sz w:val="32"/>
          <w:szCs w:val="32"/>
          <w:lang w:val="en-US" w:eastAsia="zh-CN"/>
        </w:rPr>
        <w:t>打造网贸物流区：</w:t>
      </w:r>
      <w:r>
        <w:rPr>
          <w:rFonts w:hint="eastAsia" w:ascii="仿宋_GB2312" w:eastAsia="仿宋_GB2312"/>
          <w:sz w:val="32"/>
          <w:szCs w:val="32"/>
          <w:lang w:val="en-US" w:eastAsia="zh-CN"/>
        </w:rPr>
        <w:t>整合现有物流资源，加强与全国知名物流企业的对接联系，重点引进带动面广、辐射能力强的物流项目落地进驻，建设保税仓库、网贸港物流中心、网贸港服务中心、城市生活物流配送基地，着力打造区域性商贸物流集散地。</w:t>
      </w:r>
    </w:p>
    <w:tbl>
      <w:tblPr>
        <w:tblStyle w:val="11"/>
        <w:tblW w:w="8949" w:type="dxa"/>
        <w:tblInd w:w="93" w:type="dxa"/>
        <w:tblLayout w:type="fixed"/>
        <w:tblCellMar>
          <w:top w:w="0" w:type="dxa"/>
          <w:left w:w="108" w:type="dxa"/>
          <w:bottom w:w="0" w:type="dxa"/>
          <w:right w:w="108" w:type="dxa"/>
        </w:tblCellMar>
      </w:tblPr>
      <w:tblGrid>
        <w:gridCol w:w="615"/>
        <w:gridCol w:w="1665"/>
        <w:gridCol w:w="6669"/>
      </w:tblGrid>
      <w:tr>
        <w:tblPrEx>
          <w:tblLayout w:type="fixed"/>
          <w:tblCellMar>
            <w:top w:w="0" w:type="dxa"/>
            <w:left w:w="108" w:type="dxa"/>
            <w:bottom w:w="0" w:type="dxa"/>
            <w:right w:w="108" w:type="dxa"/>
          </w:tblCellMar>
        </w:tblPrEx>
        <w:trPr>
          <w:trHeight w:val="512" w:hRule="atLeast"/>
        </w:trPr>
        <w:tc>
          <w:tcPr>
            <w:tcW w:w="8949" w:type="dxa"/>
            <w:gridSpan w:val="3"/>
            <w:tcBorders>
              <w:top w:val="single" w:color="000000" w:sz="2" w:space="0"/>
              <w:left w:val="single" w:color="000000" w:sz="2" w:space="0"/>
              <w:bottom w:val="single" w:color="000000" w:sz="2" w:space="0"/>
              <w:right w:val="single" w:color="000000" w:sz="2" w:space="0"/>
            </w:tcBorders>
            <w:vAlign w:val="center"/>
          </w:tcPr>
          <w:p>
            <w:pPr>
              <w:pageBreakBefore w:val="0"/>
              <w:kinsoku/>
              <w:wordWrap/>
              <w:overflowPunct w:val="0"/>
              <w:topLinePunct w:val="0"/>
              <w:autoSpaceDE w:val="0"/>
              <w:autoSpaceDN w:val="0"/>
              <w:bidi w:val="0"/>
              <w:adjustRightInd w:val="0"/>
              <w:ind w:right="0" w:rightChars="0"/>
              <w:jc w:val="center"/>
              <w:rPr>
                <w:rFonts w:hint="eastAsia" w:ascii="宋体" w:hAnsi="宋体" w:eastAsia="宋体" w:cs="宋体"/>
                <w:kern w:val="0"/>
                <w:sz w:val="24"/>
                <w:szCs w:val="24"/>
                <w:lang w:val="zh-CN"/>
              </w:rPr>
            </w:pPr>
            <w:r>
              <w:rPr>
                <w:rFonts w:hint="eastAsia" w:ascii="宋体" w:hAnsi="宋体" w:cs="宋体"/>
                <w:b/>
                <w:bCs/>
                <w:kern w:val="0"/>
                <w:sz w:val="28"/>
                <w:szCs w:val="28"/>
                <w:lang w:val="zh-CN"/>
              </w:rPr>
              <w:t>专栏五：</w:t>
            </w:r>
            <w:r>
              <w:rPr>
                <w:rFonts w:hint="eastAsia" w:ascii="宋体" w:hAnsi="宋体"/>
                <w:b/>
                <w:bCs/>
                <w:sz w:val="28"/>
                <w:szCs w:val="28"/>
                <w:lang w:val="en-US" w:eastAsia="zh-CN"/>
              </w:rPr>
              <w:t>西部现代服务业集聚区重点项目表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4" w:hRule="atLeast"/>
        </w:trPr>
        <w:tc>
          <w:tcPr>
            <w:tcW w:w="615" w:type="dxa"/>
            <w:tcBorders>
              <w:top w:val="single" w:color="000000" w:sz="2"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eastAsia="宋体" w:cs="宋体"/>
                <w:b/>
                <w:i w:val="0"/>
                <w:color w:val="000000"/>
                <w:kern w:val="0"/>
                <w:sz w:val="21"/>
                <w:szCs w:val="21"/>
                <w:u w:val="none"/>
                <w:lang w:val="en-US" w:eastAsia="zh-CN" w:bidi="ar-SA"/>
              </w:rPr>
            </w:pPr>
            <w:r>
              <w:rPr>
                <w:rFonts w:hint="eastAsia" w:ascii="宋体" w:hAnsi="宋体" w:cs="宋体"/>
                <w:b/>
                <w:i w:val="0"/>
                <w:color w:val="000000"/>
                <w:kern w:val="0"/>
                <w:sz w:val="21"/>
                <w:szCs w:val="21"/>
                <w:u w:val="none"/>
                <w:lang w:val="en-US" w:eastAsia="zh-CN" w:bidi="ar-SA"/>
              </w:rPr>
              <w:t>序号</w:t>
            </w:r>
          </w:p>
        </w:tc>
        <w:tc>
          <w:tcPr>
            <w:tcW w:w="1665" w:type="dxa"/>
            <w:tcBorders>
              <w:top w:val="single" w:color="000000" w:sz="2" w:space="0"/>
              <w:left w:val="single" w:color="000000" w:sz="4" w:space="0"/>
              <w:bottom w:val="single" w:color="000000" w:sz="4" w:space="0"/>
              <w:right w:val="single" w:color="auto"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SA"/>
              </w:rPr>
              <w:t>项目名称</w:t>
            </w:r>
          </w:p>
        </w:tc>
        <w:tc>
          <w:tcPr>
            <w:tcW w:w="6669" w:type="dxa"/>
            <w:tcBorders>
              <w:top w:val="single" w:color="auto" w:sz="4" w:space="0"/>
              <w:left w:val="single" w:color="auto" w:sz="4" w:space="0"/>
              <w:bottom w:val="single" w:color="000000" w:sz="4" w:space="0"/>
              <w:right w:val="single" w:color="auto"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SA"/>
              </w:rPr>
              <w:t>项目建设内容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8"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eastAsia="宋体" w:cs="宋体"/>
                <w:i w:val="0"/>
                <w:color w:val="000000"/>
                <w:kern w:val="0"/>
                <w:sz w:val="21"/>
                <w:szCs w:val="21"/>
                <w:u w:val="none"/>
                <w:lang w:val="en-US" w:eastAsia="zh-CN" w:bidi="ar-SA"/>
              </w:rPr>
            </w:pPr>
            <w:r>
              <w:rPr>
                <w:rFonts w:hint="eastAsia" w:ascii="宋体" w:hAnsi="宋体" w:cs="宋体"/>
                <w:i w:val="0"/>
                <w:color w:val="000000"/>
                <w:kern w:val="0"/>
                <w:sz w:val="21"/>
                <w:szCs w:val="21"/>
                <w:u w:val="none"/>
                <w:lang w:val="en-US" w:eastAsia="zh-CN" w:bidi="ar-SA"/>
              </w:rPr>
              <w:t>1</w:t>
            </w:r>
          </w:p>
        </w:tc>
        <w:tc>
          <w:tcPr>
            <w:tcW w:w="1665" w:type="dxa"/>
            <w:tcBorders>
              <w:top w:val="single" w:color="000000" w:sz="4" w:space="0"/>
              <w:left w:val="single" w:color="000000" w:sz="4" w:space="0"/>
              <w:bottom w:val="single" w:color="000000" w:sz="4" w:space="0"/>
              <w:right w:val="single" w:color="auto"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SA"/>
              </w:rPr>
              <w:t>东北网贸港项目</w:t>
            </w:r>
          </w:p>
        </w:tc>
        <w:tc>
          <w:tcPr>
            <w:tcW w:w="6669" w:type="dxa"/>
            <w:tcBorders>
              <w:top w:val="single" w:color="000000" w:sz="4" w:space="0"/>
              <w:left w:val="single" w:color="auto" w:sz="4" w:space="0"/>
              <w:bottom w:val="single" w:color="000000" w:sz="4" w:space="0"/>
              <w:right w:val="single" w:color="auto" w:sz="4" w:space="0"/>
            </w:tcBorders>
            <w:vAlign w:val="center"/>
          </w:tcPr>
          <w:p>
            <w:pPr>
              <w:pageBreakBefore w:val="0"/>
              <w:widowControl/>
              <w:kinsoku/>
              <w:wordWrap/>
              <w:overflowPunct w:val="0"/>
              <w:topLinePunct w:val="0"/>
              <w:bidi w:val="0"/>
              <w:ind w:right="0" w:rightChars="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SA"/>
              </w:rPr>
              <w:t>以建设沈抚电商智慧谷为核心，重点发展电子商务、商贸物流、文化创意和中介服务业等四大产业。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55"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eastAsia="宋体" w:cs="宋体"/>
                <w:i w:val="0"/>
                <w:color w:val="000000"/>
                <w:kern w:val="0"/>
                <w:sz w:val="21"/>
                <w:szCs w:val="21"/>
                <w:u w:val="none"/>
                <w:lang w:val="en-US" w:eastAsia="zh-CN" w:bidi="ar-SA"/>
              </w:rPr>
            </w:pPr>
            <w:r>
              <w:rPr>
                <w:rFonts w:hint="eastAsia" w:ascii="宋体" w:hAnsi="宋体" w:cs="宋体"/>
                <w:i w:val="0"/>
                <w:color w:val="000000"/>
                <w:kern w:val="0"/>
                <w:sz w:val="21"/>
                <w:szCs w:val="21"/>
                <w:u w:val="none"/>
                <w:lang w:val="en-US" w:eastAsia="zh-CN" w:bidi="ar-SA"/>
              </w:rPr>
              <w:t>2</w:t>
            </w:r>
          </w:p>
        </w:tc>
        <w:tc>
          <w:tcPr>
            <w:tcW w:w="1665" w:type="dxa"/>
            <w:tcBorders>
              <w:top w:val="single" w:color="000000" w:sz="4" w:space="0"/>
              <w:left w:val="single" w:color="000000" w:sz="4" w:space="0"/>
              <w:bottom w:val="single" w:color="000000" w:sz="4" w:space="0"/>
              <w:right w:val="single" w:color="auto"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SA"/>
              </w:rPr>
              <w:t>国安东北亚产业园项目</w:t>
            </w:r>
          </w:p>
        </w:tc>
        <w:tc>
          <w:tcPr>
            <w:tcW w:w="6669" w:type="dxa"/>
            <w:tcBorders>
              <w:top w:val="single" w:color="000000" w:sz="4" w:space="0"/>
              <w:left w:val="single" w:color="auto" w:sz="4" w:space="0"/>
              <w:bottom w:val="single" w:color="000000" w:sz="4" w:space="0"/>
              <w:right w:val="single" w:color="auto" w:sz="4" w:space="0"/>
            </w:tcBorders>
            <w:vAlign w:val="center"/>
          </w:tcPr>
          <w:p>
            <w:pPr>
              <w:pageBreakBefore w:val="0"/>
              <w:widowControl/>
              <w:kinsoku/>
              <w:wordWrap/>
              <w:overflowPunct w:val="0"/>
              <w:topLinePunct w:val="0"/>
              <w:bidi w:val="0"/>
              <w:ind w:right="0" w:rightChars="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SA"/>
              </w:rPr>
              <w:t>以安全产业为重点，引进国内外知名企业、商家和国家级检测认证机构合作并入驻经营，建设辐射东北亚地区的，涵盖一、二、三产业，集展销、生产、研发、培训、认证和综合配套等为一体的大型产业园区。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63"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eastAsia="宋体" w:cs="宋体"/>
                <w:i w:val="0"/>
                <w:color w:val="000000"/>
                <w:kern w:val="0"/>
                <w:sz w:val="21"/>
                <w:szCs w:val="21"/>
                <w:u w:val="none"/>
                <w:lang w:val="en-US" w:eastAsia="zh-CN" w:bidi="ar-SA"/>
              </w:rPr>
            </w:pPr>
            <w:r>
              <w:rPr>
                <w:rFonts w:hint="eastAsia" w:ascii="宋体" w:hAnsi="宋体" w:cs="宋体"/>
                <w:i w:val="0"/>
                <w:color w:val="000000"/>
                <w:kern w:val="0"/>
                <w:sz w:val="21"/>
                <w:szCs w:val="21"/>
                <w:u w:val="none"/>
                <w:lang w:val="en-US" w:eastAsia="zh-CN" w:bidi="ar-SA"/>
              </w:rPr>
              <w:t>3</w:t>
            </w:r>
          </w:p>
        </w:tc>
        <w:tc>
          <w:tcPr>
            <w:tcW w:w="1665" w:type="dxa"/>
            <w:tcBorders>
              <w:top w:val="single" w:color="000000" w:sz="4" w:space="0"/>
              <w:left w:val="single" w:color="000000" w:sz="4" w:space="0"/>
              <w:bottom w:val="single" w:color="000000" w:sz="4" w:space="0"/>
              <w:right w:val="single" w:color="auto"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SA"/>
              </w:rPr>
              <w:t>国际金融产业园项目</w:t>
            </w:r>
          </w:p>
        </w:tc>
        <w:tc>
          <w:tcPr>
            <w:tcW w:w="6669" w:type="dxa"/>
            <w:tcBorders>
              <w:top w:val="single" w:color="000000" w:sz="4" w:space="0"/>
              <w:left w:val="single" w:color="auto" w:sz="4" w:space="0"/>
              <w:bottom w:val="single" w:color="000000" w:sz="4" w:space="0"/>
              <w:right w:val="single" w:color="auto" w:sz="4" w:space="0"/>
            </w:tcBorders>
            <w:vAlign w:val="center"/>
          </w:tcPr>
          <w:p>
            <w:pPr>
              <w:pageBreakBefore w:val="0"/>
              <w:widowControl/>
              <w:kinsoku/>
              <w:wordWrap/>
              <w:overflowPunct w:val="0"/>
              <w:topLinePunct w:val="0"/>
              <w:bidi w:val="0"/>
              <w:ind w:right="0" w:rightChars="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SA"/>
              </w:rPr>
              <w:t>引进全体系金融机构，搭建金融公共事业、金融产业信息、金融创新服务等功能复合平台，创建国家级金融产业综合服务基地。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59"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eastAsia="宋体" w:cs="宋体"/>
                <w:i w:val="0"/>
                <w:color w:val="000000"/>
                <w:kern w:val="0"/>
                <w:sz w:val="21"/>
                <w:szCs w:val="21"/>
                <w:u w:val="none"/>
                <w:lang w:val="en-US" w:eastAsia="zh-CN" w:bidi="ar-SA"/>
              </w:rPr>
            </w:pPr>
            <w:r>
              <w:rPr>
                <w:rFonts w:hint="eastAsia" w:ascii="宋体" w:hAnsi="宋体" w:cs="宋体"/>
                <w:i w:val="0"/>
                <w:color w:val="000000"/>
                <w:kern w:val="0"/>
                <w:sz w:val="21"/>
                <w:szCs w:val="21"/>
                <w:u w:val="none"/>
                <w:lang w:val="en-US" w:eastAsia="zh-CN" w:bidi="ar-SA"/>
              </w:rPr>
              <w:t>4</w:t>
            </w:r>
          </w:p>
        </w:tc>
        <w:tc>
          <w:tcPr>
            <w:tcW w:w="1665" w:type="dxa"/>
            <w:tcBorders>
              <w:top w:val="single" w:color="000000" w:sz="4" w:space="0"/>
              <w:left w:val="single" w:color="000000" w:sz="4" w:space="0"/>
              <w:bottom w:val="single" w:color="000000" w:sz="4" w:space="0"/>
              <w:right w:val="single" w:color="auto"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SA"/>
              </w:rPr>
              <w:t>东北亚钢铁网电子商务项目</w:t>
            </w:r>
          </w:p>
        </w:tc>
        <w:tc>
          <w:tcPr>
            <w:tcW w:w="6669" w:type="dxa"/>
            <w:tcBorders>
              <w:top w:val="single" w:color="000000" w:sz="4" w:space="0"/>
              <w:left w:val="single" w:color="auto" w:sz="4" w:space="0"/>
              <w:bottom w:val="single" w:color="000000" w:sz="4" w:space="0"/>
              <w:right w:val="single" w:color="auto" w:sz="4" w:space="0"/>
            </w:tcBorders>
            <w:vAlign w:val="center"/>
          </w:tcPr>
          <w:p>
            <w:pPr>
              <w:pageBreakBefore w:val="0"/>
              <w:widowControl/>
              <w:kinsoku/>
              <w:wordWrap/>
              <w:overflowPunct w:val="0"/>
              <w:topLinePunct w:val="0"/>
              <w:bidi w:val="0"/>
              <w:ind w:right="0" w:rightChars="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SA"/>
              </w:rPr>
              <w:t>应用信息技术改造和提升传统钢铁流通行业的业务方式，整合资源、降低成本、提高效率。利用巨大的仓储资源，专业的加工配送服务，对B2B或B2C电子商务提供物流支持。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i w:val="0"/>
                <w:color w:val="000000"/>
                <w:kern w:val="0"/>
                <w:sz w:val="21"/>
                <w:szCs w:val="21"/>
                <w:u w:val="none"/>
                <w:lang w:val="en-US" w:eastAsia="zh-CN" w:bidi="ar-SA"/>
              </w:rPr>
            </w:pPr>
            <w:r>
              <w:rPr>
                <w:rFonts w:hint="eastAsia" w:ascii="宋体" w:hAnsi="宋体" w:cs="宋体"/>
                <w:i w:val="0"/>
                <w:color w:val="000000"/>
                <w:kern w:val="0"/>
                <w:sz w:val="21"/>
                <w:szCs w:val="21"/>
                <w:u w:val="none"/>
                <w:lang w:val="en-US" w:eastAsia="zh-CN" w:bidi="ar-SA"/>
              </w:rPr>
              <w:t>5</w:t>
            </w:r>
          </w:p>
        </w:tc>
        <w:tc>
          <w:tcPr>
            <w:tcW w:w="1665" w:type="dxa"/>
            <w:tcBorders>
              <w:top w:val="single" w:color="000000" w:sz="4" w:space="0"/>
              <w:left w:val="single" w:color="000000" w:sz="4" w:space="0"/>
              <w:bottom w:val="single" w:color="000000" w:sz="4" w:space="0"/>
              <w:right w:val="single" w:color="auto"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eastAsia="宋体" w:cs="宋体"/>
                <w:i w:val="0"/>
                <w:color w:val="000000"/>
                <w:kern w:val="0"/>
                <w:sz w:val="21"/>
                <w:szCs w:val="21"/>
                <w:u w:val="none"/>
                <w:lang w:val="en-US" w:eastAsia="zh-CN" w:bidi="ar-SA"/>
              </w:rPr>
            </w:pPr>
            <w:r>
              <w:rPr>
                <w:rFonts w:hint="eastAsia" w:ascii="宋体" w:hAnsi="宋体" w:cs="宋体"/>
                <w:i w:val="0"/>
                <w:color w:val="000000"/>
                <w:kern w:val="0"/>
                <w:sz w:val="21"/>
                <w:szCs w:val="21"/>
                <w:u w:val="none"/>
                <w:lang w:val="en-US" w:eastAsia="zh-CN" w:bidi="ar-SA"/>
              </w:rPr>
              <w:t>果菜批发配送中心项目</w:t>
            </w:r>
          </w:p>
        </w:tc>
        <w:tc>
          <w:tcPr>
            <w:tcW w:w="6669" w:type="dxa"/>
            <w:tcBorders>
              <w:top w:val="single" w:color="000000" w:sz="4" w:space="0"/>
              <w:left w:val="single" w:color="auto" w:sz="4" w:space="0"/>
              <w:bottom w:val="single" w:color="000000" w:sz="4" w:space="0"/>
              <w:right w:val="single" w:color="auto" w:sz="4" w:space="0"/>
            </w:tcBorders>
            <w:vAlign w:val="center"/>
          </w:tcPr>
          <w:p>
            <w:pPr>
              <w:pageBreakBefore w:val="0"/>
              <w:widowControl/>
              <w:kinsoku/>
              <w:wordWrap/>
              <w:overflowPunct w:val="0"/>
              <w:topLinePunct w:val="0"/>
              <w:bidi w:val="0"/>
              <w:ind w:right="0" w:rightChars="0"/>
              <w:jc w:val="left"/>
              <w:textAlignment w:val="center"/>
              <w:rPr>
                <w:rFonts w:hint="eastAsia" w:ascii="宋体" w:hAnsi="宋体" w:eastAsia="宋体" w:cs="宋体"/>
                <w:i w:val="0"/>
                <w:color w:val="000000"/>
                <w:kern w:val="0"/>
                <w:sz w:val="21"/>
                <w:szCs w:val="21"/>
                <w:u w:val="none"/>
                <w:lang w:val="en-US" w:eastAsia="zh-CN" w:bidi="ar-SA"/>
              </w:rPr>
            </w:pPr>
            <w:r>
              <w:rPr>
                <w:rFonts w:hint="eastAsia" w:ascii="宋体" w:hAnsi="宋体" w:eastAsia="宋体" w:cs="宋体"/>
                <w:i w:val="0"/>
                <w:color w:val="000000"/>
                <w:kern w:val="0"/>
                <w:sz w:val="21"/>
                <w:szCs w:val="21"/>
                <w:u w:val="none"/>
                <w:lang w:val="en-US" w:eastAsia="zh-CN" w:bidi="ar-SA"/>
              </w:rPr>
              <w:t>建设具有集中交易、统一配送、检验检测等功能的大型果菜专业批发市场，形成跨区域、专业化的农产品批发、配送网络。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8"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eastAsia="宋体" w:cs="宋体"/>
                <w:i w:val="0"/>
                <w:color w:val="000000"/>
                <w:kern w:val="0"/>
                <w:sz w:val="21"/>
                <w:szCs w:val="21"/>
                <w:u w:val="none"/>
                <w:lang w:val="en-US" w:eastAsia="zh-CN" w:bidi="ar-SA"/>
              </w:rPr>
            </w:pPr>
            <w:r>
              <w:rPr>
                <w:rFonts w:hint="eastAsia" w:ascii="宋体" w:hAnsi="宋体" w:cs="宋体"/>
                <w:i w:val="0"/>
                <w:color w:val="000000"/>
                <w:kern w:val="0"/>
                <w:sz w:val="21"/>
                <w:szCs w:val="21"/>
                <w:u w:val="none"/>
                <w:lang w:val="en-US" w:eastAsia="zh-CN" w:bidi="ar-SA"/>
              </w:rPr>
              <w:t>6</w:t>
            </w:r>
          </w:p>
        </w:tc>
        <w:tc>
          <w:tcPr>
            <w:tcW w:w="1665" w:type="dxa"/>
            <w:tcBorders>
              <w:top w:val="single" w:color="000000" w:sz="4" w:space="0"/>
              <w:left w:val="single" w:color="000000" w:sz="4" w:space="0"/>
              <w:bottom w:val="single" w:color="000000" w:sz="4" w:space="0"/>
              <w:right w:val="single" w:color="auto"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SA"/>
              </w:rPr>
              <w:t>动漫影视文化产业园项目</w:t>
            </w:r>
          </w:p>
        </w:tc>
        <w:tc>
          <w:tcPr>
            <w:tcW w:w="6669" w:type="dxa"/>
            <w:tcBorders>
              <w:top w:val="single" w:color="000000" w:sz="4" w:space="0"/>
              <w:left w:val="single" w:color="auto" w:sz="4" w:space="0"/>
              <w:bottom w:val="single" w:color="000000" w:sz="4" w:space="0"/>
              <w:right w:val="single" w:color="auto" w:sz="4" w:space="0"/>
            </w:tcBorders>
            <w:vAlign w:val="center"/>
          </w:tcPr>
          <w:p>
            <w:pPr>
              <w:pageBreakBefore w:val="0"/>
              <w:widowControl/>
              <w:kinsoku/>
              <w:wordWrap/>
              <w:overflowPunct w:val="0"/>
              <w:topLinePunct w:val="0"/>
              <w:bidi w:val="0"/>
              <w:ind w:right="0" w:rightChars="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SA"/>
              </w:rPr>
              <w:t>大力发展文化产业，推动文化产品和服务出口。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49"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eastAsia="宋体" w:cs="宋体"/>
                <w:i w:val="0"/>
                <w:color w:val="000000"/>
                <w:kern w:val="0"/>
                <w:sz w:val="21"/>
                <w:szCs w:val="21"/>
                <w:u w:val="none"/>
                <w:lang w:val="en-US" w:eastAsia="zh-CN" w:bidi="ar-SA"/>
              </w:rPr>
            </w:pPr>
            <w:r>
              <w:rPr>
                <w:rFonts w:hint="eastAsia" w:ascii="宋体" w:hAnsi="宋体" w:cs="宋体"/>
                <w:i w:val="0"/>
                <w:color w:val="000000"/>
                <w:kern w:val="0"/>
                <w:sz w:val="21"/>
                <w:szCs w:val="21"/>
                <w:u w:val="none"/>
                <w:lang w:val="en-US" w:eastAsia="zh-CN" w:bidi="ar-SA"/>
              </w:rPr>
              <w:t>7</w:t>
            </w:r>
          </w:p>
        </w:tc>
        <w:tc>
          <w:tcPr>
            <w:tcW w:w="1665" w:type="dxa"/>
            <w:tcBorders>
              <w:top w:val="single" w:color="000000" w:sz="4" w:space="0"/>
              <w:left w:val="single" w:color="000000" w:sz="4" w:space="0"/>
              <w:bottom w:val="single" w:color="000000" w:sz="4" w:space="0"/>
              <w:right w:val="single" w:color="auto"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SA"/>
              </w:rPr>
              <w:t>中国装备城项目</w:t>
            </w:r>
          </w:p>
        </w:tc>
        <w:tc>
          <w:tcPr>
            <w:tcW w:w="6669" w:type="dxa"/>
            <w:tcBorders>
              <w:top w:val="single" w:color="000000" w:sz="4" w:space="0"/>
              <w:left w:val="single" w:color="auto" w:sz="4" w:space="0"/>
              <w:bottom w:val="single" w:color="000000" w:sz="4" w:space="0"/>
              <w:right w:val="single" w:color="auto" w:sz="4" w:space="0"/>
            </w:tcBorders>
            <w:vAlign w:val="center"/>
          </w:tcPr>
          <w:p>
            <w:pPr>
              <w:pageBreakBefore w:val="0"/>
              <w:widowControl/>
              <w:kinsoku/>
              <w:wordWrap/>
              <w:overflowPunct w:val="0"/>
              <w:topLinePunct w:val="0"/>
              <w:bidi w:val="0"/>
              <w:ind w:right="0" w:rightChars="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SA"/>
              </w:rPr>
              <w:t>打造装备产品集散地，重点发展交易集散、国际贸易、租赁、二手设备、专业物流武打功能。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25"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val="0"/>
              <w:topLinePunct w:val="0"/>
              <w:bidi w:val="0"/>
              <w:ind w:right="0" w:rightChars="0"/>
              <w:jc w:val="center"/>
              <w:textAlignment w:val="center"/>
              <w:rPr>
                <w:rFonts w:hint="eastAsia" w:ascii="宋体" w:hAnsi="宋体" w:cs="宋体"/>
                <w:i w:val="0"/>
                <w:color w:val="000000"/>
                <w:kern w:val="0"/>
                <w:sz w:val="21"/>
                <w:szCs w:val="21"/>
                <w:u w:val="none"/>
                <w:lang w:val="en-US" w:eastAsia="zh-CN" w:bidi="ar-SA"/>
              </w:rPr>
            </w:pPr>
            <w:r>
              <w:rPr>
                <w:rFonts w:hint="eastAsia" w:ascii="宋体" w:hAnsi="宋体" w:cs="宋体"/>
                <w:i w:val="0"/>
                <w:color w:val="000000"/>
                <w:kern w:val="0"/>
                <w:sz w:val="21"/>
                <w:szCs w:val="21"/>
                <w:u w:val="none"/>
                <w:lang w:val="en-US" w:eastAsia="zh-CN" w:bidi="ar-SA"/>
              </w:rPr>
              <w:t>8</w:t>
            </w:r>
          </w:p>
        </w:tc>
        <w:tc>
          <w:tcPr>
            <w:tcW w:w="1665" w:type="dxa"/>
            <w:tcBorders>
              <w:top w:val="single" w:color="000000" w:sz="4" w:space="0"/>
              <w:left w:val="single" w:color="000000" w:sz="4" w:space="0"/>
              <w:bottom w:val="single" w:color="000000" w:sz="4" w:space="0"/>
              <w:right w:val="single" w:color="auto"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SA"/>
              </w:rPr>
            </w:pPr>
            <w:r>
              <w:rPr>
                <w:rFonts w:hint="eastAsia" w:ascii="宋体" w:hAnsi="宋体" w:eastAsia="宋体" w:cs="宋体"/>
                <w:i w:val="0"/>
                <w:color w:val="000000"/>
                <w:kern w:val="0"/>
                <w:sz w:val="21"/>
                <w:szCs w:val="21"/>
                <w:u w:val="none"/>
                <w:lang w:val="en-US" w:eastAsia="zh-CN" w:bidi="ar"/>
              </w:rPr>
              <w:t>大连万达轻资产商业项目</w:t>
            </w:r>
          </w:p>
        </w:tc>
        <w:tc>
          <w:tcPr>
            <w:tcW w:w="6669" w:type="dxa"/>
            <w:tcBorders>
              <w:top w:val="single" w:color="000000" w:sz="4" w:space="0"/>
              <w:left w:val="single" w:color="auto" w:sz="4" w:space="0"/>
              <w:bottom w:val="single" w:color="auto" w:sz="4" w:space="0"/>
              <w:right w:val="single" w:color="auto" w:sz="4" w:space="0"/>
            </w:tcBorders>
            <w:shd w:val="clear" w:color="auto" w:fill="auto"/>
            <w:textDirection w:val="lrTb"/>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SA"/>
              </w:rPr>
            </w:pPr>
            <w:r>
              <w:rPr>
                <w:rFonts w:hint="eastAsia" w:ascii="宋体" w:hAnsi="宋体" w:eastAsia="宋体" w:cs="宋体"/>
                <w:i w:val="0"/>
                <w:color w:val="000000"/>
                <w:kern w:val="0"/>
                <w:sz w:val="21"/>
                <w:szCs w:val="21"/>
                <w:u w:val="none"/>
                <w:lang w:val="en-US" w:eastAsia="zh-CN" w:bidi="ar"/>
              </w:rPr>
              <w:t>建筑面积12万平，是集休闲购物、餐饮娱乐为一体的商业广场，将打造成为抚顺城市西部地标式商业综合体。</w:t>
            </w:r>
          </w:p>
        </w:tc>
      </w:tr>
    </w:tbl>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r>
        <w:rPr>
          <w:rFonts w:hint="eastAsia" w:ascii="仿宋_GB2312" w:eastAsia="仿宋_GB2312"/>
          <w:sz w:val="24"/>
          <w:szCs w:val="24"/>
        </w:rPr>
        <w:t xml:space="preserve">                </w:t>
      </w:r>
    </w:p>
    <w:p>
      <w:pPr>
        <w:pStyle w:val="2"/>
        <w:pageBreakBefore w:val="0"/>
        <w:widowControl w:val="0"/>
        <w:kinsoku/>
        <w:wordWrap/>
        <w:topLinePunct w:val="0"/>
        <w:autoSpaceDE/>
        <w:autoSpaceDN/>
        <w:bidi w:val="0"/>
        <w:adjustRightInd/>
        <w:snapToGrid/>
        <w:spacing w:line="240" w:lineRule="exact"/>
        <w:ind w:left="0" w:leftChars="0" w:right="0" w:rightChars="0" w:firstLine="0" w:firstLineChars="0"/>
        <w:textAlignment w:val="auto"/>
        <w:rPr>
          <w:rFonts w:hint="eastAsia"/>
        </w:rPr>
      </w:pPr>
      <w:bookmarkStart w:id="21" w:name="_Toc15030"/>
      <w:r>
        <w:rPr>
          <w:rFonts w:hint="eastAsia"/>
        </w:rPr>
        <w:t>第五章  加快产业结构调整　促进经济转型升级</w:t>
      </w:r>
      <w:bookmarkEnd w:id="21"/>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坚持增量提升与存量优化并举，调结构与促发展并重，促进经济发展质量、效益和总量全面提升。大力发展生产性服务业，提升传统服务业，实现服务业发展提速、比重提高、水平提升。重点发展战略性新兴产业，改造传统产业，实现工业集聚化、链条化、高端化、智能化发展。积极构建现代农业经营体系、生产体系和产业体系，实现农业现代化发展。到2020年，城乡发展的协调性进一步增强，三次产业结构调整为1∶55∶44。</w:t>
      </w:r>
    </w:p>
    <w:p>
      <w:pPr>
        <w:pageBreakBefore w:val="0"/>
        <w:kinsoku/>
        <w:wordWrap/>
        <w:overflowPunct w:val="0"/>
        <w:topLinePunct w:val="0"/>
        <w:bidi w:val="0"/>
        <w:ind w:right="0" w:rightChars="0"/>
        <w:rPr>
          <w:rFonts w:hint="eastAsia" w:ascii="仿宋_GB2312" w:eastAsia="仿宋_GB2312"/>
          <w:sz w:val="24"/>
          <w:szCs w:val="24"/>
        </w:rPr>
      </w:pPr>
    </w:p>
    <w:p>
      <w:pPr>
        <w:pStyle w:val="3"/>
        <w:keepNext/>
        <w:keepLines/>
        <w:pageBreakBefore w:val="0"/>
        <w:widowControl w:val="0"/>
        <w:kinsoku/>
        <w:wordWrap/>
        <w:overflowPunct/>
        <w:topLinePunct w:val="0"/>
        <w:autoSpaceDE/>
        <w:autoSpaceDN/>
        <w:bidi w:val="0"/>
        <w:adjustRightInd/>
        <w:snapToGrid/>
        <w:spacing w:before="260" w:beforeLines="0" w:after="260" w:afterLines="0" w:line="240" w:lineRule="exact"/>
        <w:ind w:left="0" w:leftChars="0" w:right="0" w:rightChars="0" w:firstLine="0" w:firstLineChars="0"/>
        <w:jc w:val="center"/>
        <w:textAlignment w:val="auto"/>
        <w:outlineLvl w:val="1"/>
        <w:rPr>
          <w:rFonts w:hint="eastAsia"/>
        </w:rPr>
      </w:pPr>
      <w:bookmarkStart w:id="22" w:name="_Toc13320"/>
      <w:r>
        <w:rPr>
          <w:rFonts w:hint="eastAsia"/>
        </w:rPr>
        <w:t>第一节　加快服务业大发展</w:t>
      </w:r>
      <w:bookmarkEnd w:id="22"/>
    </w:p>
    <w:p>
      <w:pPr>
        <w:pageBreakBefore w:val="0"/>
        <w:kinsoku/>
        <w:wordWrap/>
        <w:overflowPunct w:val="0"/>
        <w:topLinePunct w:val="0"/>
        <w:bidi w:val="0"/>
        <w:ind w:right="0" w:rightChars="0"/>
        <w:rPr>
          <w:rFonts w:hint="eastAsia" w:ascii="仿宋_GB2312" w:eastAsia="仿宋_GB2312"/>
          <w:sz w:val="24"/>
          <w:szCs w:val="24"/>
        </w:rPr>
      </w:pP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把发展服务业作为推动产业优化升级的重要支撑，拓展新领域、发展新业态、培育新热点，加强服务业集聚区和重大项目建设，实现服务业规模化、品牌化、网络化发展，不断提高服务业在国民经济中的比重。到2020年，全区服务业增加值增速高于GDP增速，服务业增加值占GDP比重达</w:t>
      </w:r>
      <w:r>
        <w:rPr>
          <w:rFonts w:hint="eastAsia" w:ascii="仿宋_GB2312" w:eastAsia="仿宋_GB2312"/>
          <w:sz w:val="32"/>
          <w:szCs w:val="32"/>
          <w:lang w:val="en-US" w:eastAsia="zh-CN"/>
        </w:rPr>
        <w:t>44</w:t>
      </w:r>
      <w:r>
        <w:rPr>
          <w:rFonts w:hint="eastAsia" w:ascii="仿宋_GB2312" w:eastAsia="仿宋_GB2312"/>
          <w:sz w:val="32"/>
          <w:szCs w:val="32"/>
        </w:rPr>
        <w:t>%以上。</w:t>
      </w:r>
    </w:p>
    <w:p>
      <w:pPr>
        <w:pageBreakBefore w:val="0"/>
        <w:kinsoku/>
        <w:wordWrap/>
        <w:overflowPunct w:val="0"/>
        <w:topLinePunct w:val="0"/>
        <w:bidi w:val="0"/>
        <w:ind w:right="0" w:rightChars="0" w:firstLine="640" w:firstLineChars="200"/>
        <w:rPr>
          <w:rFonts w:hint="eastAsia" w:ascii="仿宋_GB2312" w:eastAsia="仿宋_GB2312"/>
          <w:sz w:val="32"/>
          <w:szCs w:val="32"/>
        </w:rPr>
      </w:pPr>
      <w:r>
        <w:rPr>
          <w:rFonts w:hint="eastAsia" w:ascii="仿宋_GB2312" w:eastAsia="仿宋_GB2312"/>
          <w:b/>
          <w:bCs/>
          <w:sz w:val="32"/>
          <w:szCs w:val="32"/>
        </w:rPr>
        <w:t>推进“互联网+”发展。</w:t>
      </w:r>
      <w:r>
        <w:rPr>
          <w:rFonts w:hint="eastAsia" w:ascii="仿宋_GB2312" w:eastAsia="仿宋_GB2312"/>
          <w:sz w:val="32"/>
          <w:szCs w:val="32"/>
        </w:rPr>
        <w:t>以“大众创业、万众创新”为导向，大力发展电子商务及其配套产业，夯实地区电子商务发展基础，加快电子商务产业基地建设，打造大宗商品交易平台、抚顺众创电子商务产业基地等十大载体，构建电子商务产业全方位发展链条。到“十三五”末期，建成经营规模庞大、配套功能完善，知名度享誉国内，产品远销全国乃至全球的现代网贸物流集聚区，实现“互联网+”业态交易额突破200亿元。</w:t>
      </w:r>
    </w:p>
    <w:tbl>
      <w:tblPr>
        <w:tblStyle w:val="12"/>
        <w:tblW w:w="8775" w:type="dxa"/>
        <w:tblInd w:w="1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75" w:type="dxa"/>
            <w:vAlign w:val="center"/>
          </w:tcPr>
          <w:p>
            <w:pPr>
              <w:pageBreakBefore w:val="0"/>
              <w:kinsoku/>
              <w:wordWrap/>
              <w:overflowPunct w:val="0"/>
              <w:topLinePunct w:val="0"/>
              <w:bidi w:val="0"/>
              <w:snapToGrid w:val="0"/>
              <w:ind w:right="0" w:rightChars="0"/>
              <w:jc w:val="center"/>
              <w:rPr>
                <w:rFonts w:hint="eastAsia" w:ascii="宋体" w:hAnsi="宋体" w:eastAsia="宋体" w:cs="宋体"/>
                <w:color w:val="auto"/>
                <w:sz w:val="24"/>
                <w:szCs w:val="24"/>
              </w:rPr>
            </w:pPr>
            <w:r>
              <w:rPr>
                <w:rFonts w:hint="eastAsia" w:ascii="宋体" w:hAnsi="宋体" w:cs="宋体"/>
                <w:b/>
                <w:bCs/>
                <w:color w:val="auto"/>
                <w:sz w:val="28"/>
                <w:szCs w:val="28"/>
                <w:lang w:eastAsia="zh-CN"/>
              </w:rPr>
              <w:t>专栏六：</w:t>
            </w:r>
            <w:r>
              <w:rPr>
                <w:rFonts w:hint="eastAsia" w:ascii="宋体" w:hAnsi="宋体" w:eastAsia="宋体" w:cs="宋体"/>
                <w:b/>
                <w:bCs/>
                <w:color w:val="auto"/>
                <w:sz w:val="28"/>
                <w:szCs w:val="28"/>
              </w:rPr>
              <w:t>“互联网+”重点项目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75" w:type="dxa"/>
            <w:vAlign w:val="top"/>
          </w:tcPr>
          <w:p>
            <w:pPr>
              <w:pageBreakBefore w:val="0"/>
              <w:kinsoku/>
              <w:wordWrap/>
              <w:overflowPunct w:val="0"/>
              <w:topLinePunct w:val="0"/>
              <w:bidi w:val="0"/>
              <w:snapToGrid w:val="0"/>
              <w:ind w:right="0" w:rightChars="0" w:firstLine="420" w:firstLineChars="200"/>
              <w:rPr>
                <w:rFonts w:hint="eastAsia" w:ascii="宋体" w:hAnsi="宋体" w:eastAsia="宋体" w:cs="宋体"/>
                <w:color w:val="auto"/>
                <w:sz w:val="24"/>
                <w:szCs w:val="24"/>
              </w:rPr>
            </w:pPr>
            <w:r>
              <w:rPr>
                <w:rFonts w:hint="eastAsia" w:ascii="宋体" w:hAnsi="宋体" w:eastAsia="宋体" w:cs="宋体"/>
                <w:b/>
                <w:color w:val="auto"/>
                <w:sz w:val="24"/>
                <w:szCs w:val="24"/>
              </w:rPr>
              <w:t>超10亿元规模大宗商品现货交易平台：</w:t>
            </w:r>
            <w:r>
              <w:rPr>
                <w:rFonts w:hint="eastAsia" w:ascii="宋体" w:hAnsi="宋体" w:eastAsia="宋体" w:cs="宋体"/>
                <w:color w:val="auto"/>
                <w:sz w:val="24"/>
                <w:szCs w:val="24"/>
              </w:rPr>
              <w:t>以东北亚钢铁网为依托，以抚顺特殊钢、抚顺新抚钢为主体，着力打造以特殊钢、民用钢及其衍生产品为主体的钢铁网络贸易平台；以抚顺洗化厂、抚顺金新化工厂及辽东湾国际商品交易平台等为龙头，着力打造化工产品网络贸易平台；以矿业集团琥珀纸业为核心，着力打造包装制品网络贸易平台；以望花经济开发区大型工业项目和小微企业园建设为牵动，着力打造望花区民营企业工业品网络贸易平台。</w:t>
            </w:r>
          </w:p>
          <w:p>
            <w:pPr>
              <w:pageBreakBefore w:val="0"/>
              <w:kinsoku/>
              <w:wordWrap/>
              <w:overflowPunct w:val="0"/>
              <w:topLinePunct w:val="0"/>
              <w:bidi w:val="0"/>
              <w:snapToGrid w:val="0"/>
              <w:ind w:right="0" w:rightChars="0" w:firstLine="420" w:firstLineChars="200"/>
              <w:rPr>
                <w:rFonts w:hint="eastAsia" w:ascii="宋体" w:hAnsi="宋体" w:eastAsia="宋体" w:cs="宋体"/>
                <w:color w:val="auto"/>
                <w:sz w:val="24"/>
                <w:szCs w:val="24"/>
              </w:rPr>
            </w:pPr>
            <w:bookmarkStart w:id="23" w:name="OLE_LINK39"/>
            <w:bookmarkStart w:id="24" w:name="OLE_LINK6"/>
            <w:r>
              <w:rPr>
                <w:rFonts w:hint="eastAsia" w:ascii="宋体" w:hAnsi="宋体" w:eastAsia="宋体" w:cs="宋体"/>
                <w:b/>
                <w:color w:val="auto"/>
                <w:sz w:val="24"/>
                <w:szCs w:val="24"/>
              </w:rPr>
              <w:t>超亿元规模的O2O模式网上商城</w:t>
            </w:r>
            <w:bookmarkEnd w:id="23"/>
            <w:r>
              <w:rPr>
                <w:rFonts w:hint="eastAsia" w:ascii="宋体" w:hAnsi="宋体" w:eastAsia="宋体" w:cs="宋体"/>
                <w:b/>
                <w:color w:val="auto"/>
                <w:sz w:val="24"/>
                <w:szCs w:val="24"/>
              </w:rPr>
              <w:t>：</w:t>
            </w:r>
            <w:bookmarkEnd w:id="24"/>
            <w:r>
              <w:rPr>
                <w:rFonts w:hint="eastAsia" w:ascii="宋体" w:hAnsi="宋体" w:eastAsia="宋体" w:cs="宋体"/>
                <w:color w:val="auto"/>
                <w:sz w:val="24"/>
                <w:szCs w:val="24"/>
              </w:rPr>
              <w:t>依托IBM云计算技术，以大商集团天狗网为龙头，建设新玛特，乐购、华润万家</w:t>
            </w:r>
            <w:r>
              <w:rPr>
                <w:rFonts w:hint="eastAsia" w:ascii="宋体" w:hAnsi="宋体" w:cs="宋体"/>
                <w:color w:val="auto"/>
                <w:sz w:val="24"/>
                <w:szCs w:val="24"/>
                <w:lang w:eastAsia="zh-CN"/>
              </w:rPr>
              <w:t>、今日装饰城</w:t>
            </w:r>
            <w:r>
              <w:rPr>
                <w:rFonts w:hint="eastAsia" w:ascii="宋体" w:hAnsi="宋体" w:eastAsia="宋体" w:cs="宋体"/>
                <w:color w:val="auto"/>
                <w:sz w:val="24"/>
                <w:szCs w:val="24"/>
              </w:rPr>
              <w:t>共4个O2O网络商城；整合全省家居建材资源，做强今日商城电子商务网；依托天和国际项目，建设微码购网络贸易平台，同步发展P2P在线融资平台；依托地区煤精琥珀和省内的玛瑙、玉石、根雕等资源，着手建立雕刻工艺品主题网贸商城；依托抚顺地标特色产品和北厚生鲜产品批发市场，建立有机农副产品网络贸易平台。</w:t>
            </w:r>
          </w:p>
          <w:p>
            <w:pPr>
              <w:pageBreakBefore w:val="0"/>
              <w:kinsoku/>
              <w:wordWrap/>
              <w:overflowPunct w:val="0"/>
              <w:topLinePunct w:val="0"/>
              <w:bidi w:val="0"/>
              <w:snapToGrid w:val="0"/>
              <w:ind w:right="0" w:rightChars="0" w:firstLine="420" w:firstLineChars="200"/>
              <w:rPr>
                <w:rFonts w:hint="eastAsia" w:ascii="宋体" w:hAnsi="宋体" w:eastAsia="宋体" w:cs="宋体"/>
                <w:color w:val="auto"/>
                <w:sz w:val="24"/>
                <w:szCs w:val="24"/>
              </w:rPr>
            </w:pPr>
            <w:r>
              <w:rPr>
                <w:rFonts w:hint="eastAsia" w:ascii="宋体" w:hAnsi="宋体" w:eastAsia="宋体" w:cs="宋体"/>
                <w:b/>
                <w:color w:val="auto"/>
                <w:sz w:val="24"/>
                <w:szCs w:val="24"/>
              </w:rPr>
              <w:t>京东（抚顺）赶场小站O2O总部基地：</w:t>
            </w:r>
            <w:r>
              <w:rPr>
                <w:rFonts w:hint="eastAsia" w:ascii="宋体" w:hAnsi="宋体" w:eastAsia="宋体" w:cs="宋体"/>
                <w:color w:val="auto"/>
                <w:sz w:val="24"/>
                <w:szCs w:val="24"/>
              </w:rPr>
              <w:t>打造2500平方米O2O总部，并</w:t>
            </w:r>
            <w:bookmarkStart w:id="25" w:name="OLE_LINK18"/>
            <w:bookmarkStart w:id="26" w:name="OLE_LINK19"/>
            <w:r>
              <w:rPr>
                <w:rFonts w:hint="eastAsia" w:ascii="宋体" w:hAnsi="宋体" w:eastAsia="宋体" w:cs="宋体"/>
                <w:color w:val="auto"/>
                <w:sz w:val="24"/>
                <w:szCs w:val="24"/>
              </w:rPr>
              <w:t>在塔峪镇和抚顺三县建设500个赶场小站</w:t>
            </w:r>
            <w:bookmarkEnd w:id="25"/>
            <w:bookmarkEnd w:id="26"/>
            <w:r>
              <w:rPr>
                <w:rFonts w:hint="eastAsia" w:ascii="宋体" w:hAnsi="宋体" w:eastAsia="宋体" w:cs="宋体"/>
                <w:color w:val="auto"/>
                <w:sz w:val="24"/>
                <w:szCs w:val="24"/>
              </w:rPr>
              <w:t>分销店。</w:t>
            </w:r>
          </w:p>
          <w:p>
            <w:pPr>
              <w:pageBreakBefore w:val="0"/>
              <w:kinsoku/>
              <w:wordWrap/>
              <w:overflowPunct w:val="0"/>
              <w:topLinePunct w:val="0"/>
              <w:bidi w:val="0"/>
              <w:snapToGrid w:val="0"/>
              <w:ind w:right="0" w:rightChars="0" w:firstLine="420" w:firstLineChars="200"/>
              <w:rPr>
                <w:rFonts w:hint="eastAsia" w:ascii="宋体" w:hAnsi="宋体" w:eastAsia="宋体" w:cs="宋体"/>
                <w:color w:val="auto"/>
                <w:sz w:val="24"/>
                <w:szCs w:val="24"/>
              </w:rPr>
            </w:pPr>
            <w:r>
              <w:rPr>
                <w:rFonts w:hint="eastAsia" w:ascii="宋体" w:hAnsi="宋体" w:eastAsia="宋体" w:cs="宋体"/>
                <w:b/>
                <w:color w:val="auto"/>
                <w:sz w:val="24"/>
                <w:szCs w:val="24"/>
              </w:rPr>
              <w:t>南北跨区域平行仓：</w:t>
            </w:r>
            <w:r>
              <w:rPr>
                <w:rFonts w:hint="eastAsia" w:ascii="宋体" w:hAnsi="宋体" w:eastAsia="宋体" w:cs="宋体"/>
                <w:color w:val="auto"/>
                <w:sz w:val="24"/>
                <w:szCs w:val="24"/>
              </w:rPr>
              <w:t>以东北特色商品为主，配套O2O体验店。</w:t>
            </w:r>
          </w:p>
          <w:p>
            <w:pPr>
              <w:pageBreakBefore w:val="0"/>
              <w:kinsoku/>
              <w:wordWrap/>
              <w:overflowPunct w:val="0"/>
              <w:topLinePunct w:val="0"/>
              <w:bidi w:val="0"/>
              <w:snapToGrid w:val="0"/>
              <w:ind w:right="0" w:rightChars="0" w:firstLine="420" w:firstLineChars="200"/>
              <w:rPr>
                <w:rFonts w:hint="eastAsia" w:ascii="宋体" w:hAnsi="宋体" w:eastAsia="宋体" w:cs="宋体"/>
                <w:b/>
                <w:color w:val="auto"/>
                <w:sz w:val="24"/>
                <w:szCs w:val="24"/>
              </w:rPr>
            </w:pPr>
            <w:r>
              <w:rPr>
                <w:rFonts w:hint="eastAsia" w:ascii="宋体" w:hAnsi="宋体" w:eastAsia="宋体" w:cs="宋体"/>
                <w:b/>
                <w:color w:val="auto"/>
                <w:sz w:val="24"/>
                <w:szCs w:val="24"/>
              </w:rPr>
              <w:t>公用型进口保税仓：</w:t>
            </w:r>
            <w:r>
              <w:rPr>
                <w:rFonts w:hint="eastAsia" w:ascii="宋体" w:hAnsi="宋体" w:eastAsia="宋体" w:cs="宋体"/>
                <w:color w:val="auto"/>
                <w:sz w:val="24"/>
                <w:szCs w:val="24"/>
              </w:rPr>
              <w:t>在东北网贸港内规划15万平方米，作为规模进口电商和海外代购电商货源输入的内陆港。</w:t>
            </w:r>
          </w:p>
          <w:p>
            <w:pPr>
              <w:pageBreakBefore w:val="0"/>
              <w:kinsoku/>
              <w:wordWrap/>
              <w:overflowPunct w:val="0"/>
              <w:topLinePunct w:val="0"/>
              <w:bidi w:val="0"/>
              <w:snapToGrid w:val="0"/>
              <w:ind w:right="0" w:rightChars="0" w:firstLine="420" w:firstLineChars="200"/>
              <w:rPr>
                <w:rFonts w:hint="eastAsia" w:ascii="宋体" w:hAnsi="宋体" w:eastAsia="宋体" w:cs="宋体"/>
                <w:color w:val="auto"/>
                <w:sz w:val="24"/>
                <w:szCs w:val="24"/>
              </w:rPr>
            </w:pPr>
            <w:r>
              <w:rPr>
                <w:rFonts w:hint="eastAsia" w:ascii="宋体" w:hAnsi="宋体" w:eastAsia="宋体" w:cs="宋体"/>
                <w:b/>
                <w:color w:val="auto"/>
                <w:sz w:val="24"/>
                <w:szCs w:val="24"/>
              </w:rPr>
              <w:t>抚顺众创电子商务产业基地：</w:t>
            </w:r>
            <w:r>
              <w:rPr>
                <w:rFonts w:hint="eastAsia" w:ascii="宋体" w:hAnsi="宋体" w:eastAsia="宋体" w:cs="宋体"/>
                <w:color w:val="auto"/>
                <w:sz w:val="24"/>
                <w:szCs w:val="24"/>
              </w:rPr>
              <w:t>引进电商分销平台10家以上，天猫店铺生态、淘宝皇冠店铺、京东特色馆等中小型电商100家以上。</w:t>
            </w:r>
          </w:p>
          <w:p>
            <w:pPr>
              <w:pageBreakBefore w:val="0"/>
              <w:kinsoku/>
              <w:wordWrap/>
              <w:overflowPunct w:val="0"/>
              <w:topLinePunct w:val="0"/>
              <w:bidi w:val="0"/>
              <w:snapToGrid w:val="0"/>
              <w:ind w:right="0" w:rightChars="0" w:firstLine="420" w:firstLineChars="200"/>
              <w:rPr>
                <w:rFonts w:hint="eastAsia" w:ascii="宋体" w:hAnsi="宋体" w:eastAsia="宋体" w:cs="宋体"/>
                <w:color w:val="auto"/>
                <w:sz w:val="24"/>
                <w:szCs w:val="24"/>
              </w:rPr>
            </w:pPr>
            <w:r>
              <w:rPr>
                <w:rFonts w:hint="eastAsia" w:ascii="宋体" w:hAnsi="宋体" w:eastAsia="宋体" w:cs="宋体"/>
                <w:b/>
                <w:color w:val="auto"/>
                <w:sz w:val="24"/>
                <w:szCs w:val="24"/>
              </w:rPr>
              <w:t>梦空间文化创意产业园：</w:t>
            </w:r>
            <w:r>
              <w:rPr>
                <w:rFonts w:hint="eastAsia" w:ascii="宋体" w:hAnsi="宋体" w:eastAsia="宋体" w:cs="宋体"/>
                <w:color w:val="auto"/>
                <w:sz w:val="24"/>
                <w:szCs w:val="24"/>
              </w:rPr>
              <w:t>引进文化推广、创意设计、产品研发、美工摄影等行业入驻。</w:t>
            </w:r>
          </w:p>
          <w:p>
            <w:pPr>
              <w:pageBreakBefore w:val="0"/>
              <w:kinsoku/>
              <w:wordWrap/>
              <w:overflowPunct w:val="0"/>
              <w:topLinePunct w:val="0"/>
              <w:bidi w:val="0"/>
              <w:snapToGrid w:val="0"/>
              <w:ind w:right="0" w:rightChars="0" w:firstLine="420" w:firstLineChars="200"/>
              <w:rPr>
                <w:rFonts w:hint="eastAsia" w:ascii="宋体" w:hAnsi="宋体" w:eastAsia="宋体" w:cs="宋体"/>
                <w:b/>
                <w:color w:val="auto"/>
                <w:sz w:val="24"/>
                <w:szCs w:val="24"/>
              </w:rPr>
            </w:pPr>
            <w:r>
              <w:rPr>
                <w:rFonts w:hint="eastAsia" w:ascii="宋体" w:hAnsi="宋体" w:eastAsia="宋体" w:cs="宋体"/>
                <w:b/>
                <w:color w:val="auto"/>
                <w:sz w:val="24"/>
                <w:szCs w:val="24"/>
              </w:rPr>
              <w:t>东北网贸港：</w:t>
            </w:r>
            <w:r>
              <w:rPr>
                <w:rFonts w:hint="eastAsia" w:ascii="宋体" w:hAnsi="宋体" w:eastAsia="宋体" w:cs="宋体"/>
                <w:color w:val="auto"/>
                <w:sz w:val="24"/>
                <w:szCs w:val="24"/>
              </w:rPr>
              <w:t>引进国内外知名的网贸平台运营商和物流运营商20家以上。</w:t>
            </w:r>
          </w:p>
        </w:tc>
      </w:tr>
    </w:tbl>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加快发展生产性服务业。</w:t>
      </w:r>
      <w:r>
        <w:rPr>
          <w:rFonts w:hint="eastAsia" w:ascii="仿宋_GB2312" w:hAnsi="仿宋_GB2312" w:eastAsia="仿宋_GB2312" w:cs="仿宋_GB2312"/>
          <w:sz w:val="32"/>
          <w:szCs w:val="32"/>
        </w:rPr>
        <w:t>围绕工业转型升级的需要，深入推进工业与服务业整合发展，结合西部现代服务业集聚区建设，着力增强现代物流、科技信息、金融服务等生产性服务业支撑作用，引领产业向价值链高端提升。坚持物流业与新型工业化联动发展，加快“互联网+”和新技术在物流领域的应用和推广，建设集信息化、智能化于一体的区域物流中心。加强金融市场建设，引进外埠金融机构在望花设立区域总部或分支机构，到“十三五”期末，全区金融机构突破100家，非信贷融资突破</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0亿元。积极发展咨询中介、文化娱乐、体育休闲、节庆展会等新兴服务业。支持鼓励科技服务、创意设计、软件服务、商务服务等高端服务业。</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提高生活性服务业品质。</w:t>
      </w:r>
      <w:r>
        <w:rPr>
          <w:rFonts w:hint="eastAsia" w:ascii="仿宋_GB2312" w:hAnsi="仿宋_GB2312" w:eastAsia="仿宋_GB2312" w:cs="仿宋_GB2312"/>
          <w:sz w:val="32"/>
          <w:szCs w:val="32"/>
        </w:rPr>
        <w:t>做强做响抚顺（望花）商贸流通省级集聚区品牌，推进集聚区公共服务设施和信息化建设，打造智慧商圈。推动传统商贸企业转型创新，支持今日装饰城、抚顺商贸大厦、望花新玛特等商贸流通企业利用电子商务平台创新服务模式。引导大型实体店向智能化、多样化商业服务综合体转型，增加餐饮、休闲、娱乐、文化等设施，由商品销售为主转向“商品+服务”并重。培育新兴消费热点，开展各类主题促销和异业联盟销售活动，拓宽传统消费领域。加强农村商贸基础设施建设，优化城乡商业网点结构和布局。强化农产品流通体系建设，促进辽宁福叶果菜配送中心等农产品电子商务平台上线运行，建设一批标准化菜市场和社区菜店。</w:t>
      </w:r>
    </w:p>
    <w:p>
      <w:pPr>
        <w:pageBreakBefore w:val="0"/>
        <w:kinsoku/>
        <w:wordWrap/>
        <w:overflowPunct w:val="0"/>
        <w:topLinePunct w:val="0"/>
        <w:bidi w:val="0"/>
        <w:ind w:right="0" w:righ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做强做大特色旅游业。</w:t>
      </w:r>
      <w:r>
        <w:rPr>
          <w:rFonts w:hint="eastAsia" w:ascii="仿宋_GB2312" w:hAnsi="仿宋_GB2312" w:eastAsia="仿宋_GB2312" w:cs="仿宋_GB2312"/>
          <w:sz w:val="32"/>
          <w:szCs w:val="32"/>
        </w:rPr>
        <w:t>大力推进旅游与文化、农业、工业的融合发展，大力培育节庆旅游、体验旅游、文化旅游，构建起与经济社会快速发展相适应的旅游体系。打造以旅行</w:t>
      </w:r>
      <w:r>
        <w:rPr>
          <w:rFonts w:hint="eastAsia" w:ascii="仿宋_GB2312" w:hAnsi="仿宋_GB2312" w:eastAsia="仿宋_GB2312" w:cs="仿宋_GB2312"/>
          <w:sz w:val="32"/>
          <w:szCs w:val="32"/>
          <w:lang w:eastAsia="zh-CN"/>
        </w:rPr>
        <w:t>集散</w:t>
      </w:r>
      <w:r>
        <w:rPr>
          <w:rFonts w:hint="eastAsia" w:ascii="仿宋_GB2312" w:hAnsi="仿宋_GB2312" w:eastAsia="仿宋_GB2312" w:cs="仿宋_GB2312"/>
          <w:sz w:val="32"/>
          <w:szCs w:val="32"/>
        </w:rPr>
        <w:t>一条街、</w:t>
      </w:r>
      <w:r>
        <w:rPr>
          <w:rFonts w:hint="eastAsia" w:ascii="仿宋_GB2312" w:hAnsi="仿宋_GB2312" w:eastAsia="仿宋_GB2312" w:cs="仿宋_GB2312"/>
          <w:sz w:val="32"/>
          <w:szCs w:val="32"/>
          <w:lang w:eastAsia="zh-CN"/>
        </w:rPr>
        <w:t>特色</w:t>
      </w:r>
      <w:r>
        <w:rPr>
          <w:rFonts w:hint="eastAsia" w:ascii="仿宋_GB2312" w:hAnsi="仿宋_GB2312" w:eastAsia="仿宋_GB2312" w:cs="仿宋_GB2312"/>
          <w:sz w:val="32"/>
          <w:szCs w:val="32"/>
        </w:rPr>
        <w:t>餐饮一条街、煤精琥珀一条街、</w:t>
      </w:r>
      <w:r>
        <w:rPr>
          <w:rFonts w:hint="eastAsia" w:ascii="仿宋_GB2312" w:hAnsi="仿宋_GB2312" w:eastAsia="仿宋_GB2312" w:cs="仿宋_GB2312"/>
          <w:sz w:val="32"/>
          <w:szCs w:val="32"/>
          <w:lang w:eastAsia="zh-CN"/>
        </w:rPr>
        <w:t>工业文明</w:t>
      </w:r>
      <w:r>
        <w:rPr>
          <w:rFonts w:hint="eastAsia" w:ascii="仿宋_GB2312" w:hAnsi="仿宋_GB2312" w:eastAsia="仿宋_GB2312" w:cs="仿宋_GB2312"/>
          <w:sz w:val="32"/>
          <w:szCs w:val="32"/>
        </w:rPr>
        <w:t>一条街等四条特色街为重点的旅游服务商圈；打造以抚顺雷锋纪念馆、抚顺煤矿博物馆、</w:t>
      </w:r>
      <w:r>
        <w:rPr>
          <w:rFonts w:hint="eastAsia" w:ascii="仿宋_GB2312" w:hAnsi="仿宋_GB2312" w:eastAsia="仿宋_GB2312" w:cs="仿宋_GB2312"/>
          <w:sz w:val="32"/>
          <w:szCs w:val="32"/>
          <w:lang w:val="en-US" w:eastAsia="zh-CN"/>
        </w:rPr>
        <w:t>塔峪系列生态农业项目</w:t>
      </w:r>
      <w:r>
        <w:rPr>
          <w:rFonts w:hint="eastAsia" w:ascii="仿宋_GB2312" w:hAnsi="仿宋_GB2312" w:eastAsia="仿宋_GB2312" w:cs="仿宋_GB2312"/>
          <w:sz w:val="32"/>
          <w:szCs w:val="32"/>
        </w:rPr>
        <w:t>为核心点的“红、黑、绿”三条旅游精品线路；打造</w:t>
      </w:r>
      <w:r>
        <w:rPr>
          <w:rFonts w:hint="eastAsia" w:ascii="仿宋_GB2312" w:hAnsi="仿宋_GB2312" w:eastAsia="仿宋_GB2312" w:cs="仿宋_GB2312"/>
          <w:b w:val="0"/>
          <w:bCs w:val="0"/>
          <w:sz w:val="32"/>
          <w:szCs w:val="32"/>
          <w:lang w:eastAsia="zh-CN"/>
        </w:rPr>
        <w:t>抚顺动漫影视文化产业园</w:t>
      </w:r>
      <w:r>
        <w:rPr>
          <w:rFonts w:hint="eastAsia" w:ascii="仿宋_GB2312" w:hAnsi="仿宋_GB2312" w:eastAsia="仿宋_GB2312" w:cs="仿宋_GB2312"/>
          <w:sz w:val="32"/>
          <w:szCs w:val="32"/>
        </w:rPr>
        <w:t>和</w:t>
      </w:r>
      <w:r>
        <w:rPr>
          <w:rFonts w:hint="eastAsia" w:ascii="仿宋_GB2312" w:hAnsi="仿宋_GB2312" w:eastAsia="仿宋_GB2312" w:cs="仿宋_GB2312"/>
          <w:sz w:val="32"/>
          <w:szCs w:val="32"/>
          <w:lang w:eastAsia="zh-CN"/>
        </w:rPr>
        <w:t>中国北方越野运动公园</w:t>
      </w:r>
      <w:r>
        <w:rPr>
          <w:rFonts w:hint="eastAsia" w:ascii="仿宋_GB2312" w:hAnsi="仿宋_GB2312" w:eastAsia="仿宋_GB2312" w:cs="仿宋_GB2312"/>
          <w:sz w:val="32"/>
          <w:szCs w:val="32"/>
        </w:rPr>
        <w:t>两个文化体育园区。到“十三五”末期，基本建成“四街三点两个主题产业园”的“432”现代旅游业新格局，实现年接待域内外游客600万人次以上，旅游收入达到40亿元以上，旅游产业增加值占全区GDP7%以上。</w:t>
      </w:r>
    </w:p>
    <w:p>
      <w:pPr>
        <w:pageBreakBefore w:val="0"/>
        <w:kinsoku/>
        <w:wordWrap/>
        <w:overflowPunct w:val="0"/>
        <w:topLinePunct w:val="0"/>
        <w:bidi w:val="0"/>
        <w:ind w:right="0" w:righ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eastAsia="zh-CN"/>
        </w:rPr>
        <w:t>推进消费主导型城区建设。</w:t>
      </w:r>
      <w:r>
        <w:rPr>
          <w:rFonts w:hint="eastAsia" w:ascii="仿宋_GB2312" w:hAnsi="仿宋_GB2312" w:eastAsia="仿宋_GB2312" w:cs="仿宋_GB2312"/>
          <w:sz w:val="32"/>
          <w:szCs w:val="32"/>
          <w:lang w:eastAsia="zh-CN"/>
        </w:rPr>
        <w:t>以增强消费能力、拓展消费领域、打造消费环境为抓手，把消费主导型城区建设放在全区转型发展全局的核心位置，着力完善消费主导型城区体制，着力构建消费型产业体系，着力推进生态文明建设，着力增强基础保障能力，把望花建设成为经济发达、特色鲜明、生态宜居的消费型城区。到</w:t>
      </w:r>
      <w:r>
        <w:rPr>
          <w:rFonts w:hint="eastAsia" w:ascii="仿宋_GB2312" w:hAnsi="仿宋_GB2312" w:eastAsia="仿宋_GB2312" w:cs="仿宋_GB2312"/>
          <w:sz w:val="32"/>
          <w:szCs w:val="32"/>
          <w:lang w:val="en-US" w:eastAsia="zh-CN"/>
        </w:rPr>
        <w:t>2020年，消费贡献率达到40%以上。</w:t>
      </w:r>
    </w:p>
    <w:p>
      <w:pPr>
        <w:pageBreakBefore w:val="0"/>
        <w:kinsoku/>
        <w:wordWrap/>
        <w:overflowPunct w:val="0"/>
        <w:topLinePunct w:val="0"/>
        <w:bidi w:val="0"/>
        <w:ind w:right="0" w:righ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实施智慧城区建设工程。</w:t>
      </w:r>
      <w:r>
        <w:rPr>
          <w:rFonts w:hint="eastAsia" w:ascii="仿宋_GB2312" w:hAnsi="仿宋_GB2312" w:eastAsia="仿宋_GB2312" w:cs="仿宋_GB2312"/>
          <w:sz w:val="32"/>
          <w:szCs w:val="32"/>
          <w:lang w:val="en-US" w:eastAsia="zh-CN"/>
        </w:rPr>
        <w:t>构建智慧产业体系，主要以京东（抚顺）赶场小站O2O总部基地、抚顺众创电子商务产业发展基地和有机农副产品网络贸易平台为牵动。推进智慧基础设施建设，加快光纤宽带、移动通信网络建设，基本实现农村广播电视“户户通”，借助互联网、电信网、广电网“三网”融合，实现城区“多网合一”。提升智慧公共管理功能，充分利用现代信息技术，强化灾难、社会治安、安全生产等重点领域的智慧监控预警防控体系建设。提高智慧民生服务水平，实施“望花·互联网+城市服务”工程，借助微信、手机QQ等“民生服务”平台，建立集交通出行。医疗、教育、社保、户政、出入境、旅游等多项生活服务功能于一体的普惠化公共服务体系。</w:t>
      </w:r>
    </w:p>
    <w:p>
      <w:pPr>
        <w:pageBreakBefore w:val="0"/>
        <w:kinsoku/>
        <w:wordWrap/>
        <w:overflowPunct w:val="0"/>
        <w:topLinePunct w:val="0"/>
        <w:bidi w:val="0"/>
        <w:ind w:right="0" w:rightChars="0" w:firstLine="640" w:firstLineChars="200"/>
        <w:rPr>
          <w:rFonts w:hint="eastAsia" w:ascii="仿宋_GB2312" w:eastAsia="仿宋_GB2312"/>
          <w:sz w:val="32"/>
          <w:szCs w:val="32"/>
          <w:lang w:val="en-US" w:eastAsia="zh-CN"/>
        </w:rPr>
      </w:pPr>
    </w:p>
    <w:tbl>
      <w:tblPr>
        <w:tblStyle w:val="11"/>
        <w:tblW w:w="878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87"/>
        <w:gridCol w:w="2448"/>
        <w:gridCol w:w="584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34" w:hRule="atLeast"/>
        </w:trPr>
        <w:tc>
          <w:tcPr>
            <w:tcW w:w="8780" w:type="dxa"/>
            <w:gridSpan w:val="3"/>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b/>
                <w:bCs/>
                <w:i w:val="0"/>
                <w:color w:val="000000"/>
                <w:kern w:val="0"/>
                <w:sz w:val="28"/>
                <w:szCs w:val="28"/>
                <w:u w:val="none"/>
                <w:lang w:val="en-US" w:eastAsia="zh-CN" w:bidi="ar"/>
              </w:rPr>
              <w:t>专栏七：服务业重点项目表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Ex>
        <w:trPr>
          <w:trHeight w:val="429" w:hRule="atLeast"/>
        </w:trPr>
        <w:tc>
          <w:tcPr>
            <w:tcW w:w="48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序号</w:t>
            </w: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项目名称</w:t>
            </w:r>
          </w:p>
        </w:tc>
        <w:tc>
          <w:tcPr>
            <w:tcW w:w="584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项目建设内容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Ex>
        <w:trPr>
          <w:trHeight w:val="644" w:hRule="atLeast"/>
        </w:trPr>
        <w:tc>
          <w:tcPr>
            <w:tcW w:w="48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今日装饰城改扩建项目</w:t>
            </w:r>
          </w:p>
        </w:tc>
        <w:tc>
          <w:tcPr>
            <w:tcW w:w="584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建筑面积7000多平方米，主营全屋定制（非标）、家居建材超市、仓储、灯具、大卖场等。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Ex>
        <w:trPr>
          <w:trHeight w:val="644" w:hRule="atLeast"/>
        </w:trPr>
        <w:tc>
          <w:tcPr>
            <w:tcW w:w="48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大连万达轻资产商业项目</w:t>
            </w:r>
          </w:p>
        </w:tc>
        <w:tc>
          <w:tcPr>
            <w:tcW w:w="584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建筑面积12万平，是集休闲购物、餐饮娱乐为一体的商业广场，将打造成为抚顺城市西部地标式商业综合体。</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Ex>
        <w:trPr>
          <w:trHeight w:val="644" w:hRule="atLeast"/>
        </w:trPr>
        <w:tc>
          <w:tcPr>
            <w:tcW w:w="48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北京中嘉商业广场项目</w:t>
            </w:r>
          </w:p>
        </w:tc>
        <w:tc>
          <w:tcPr>
            <w:tcW w:w="584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规划占地2.36公顷，商业面积2.89万平方米，是集休闲、餐饮、购物、旅游于一体的综合商业广场。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Ex>
        <w:trPr>
          <w:trHeight w:val="697" w:hRule="atLeast"/>
        </w:trPr>
        <w:tc>
          <w:tcPr>
            <w:tcW w:w="48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华润万家项目</w:t>
            </w:r>
          </w:p>
        </w:tc>
        <w:tc>
          <w:tcPr>
            <w:tcW w:w="584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总建筑面积6.6万平，其中商业面积1.8万平方米，是集商贸、零售、娱乐、住宅为一体的大型商住购物中心。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Ex>
        <w:trPr>
          <w:trHeight w:val="947" w:hRule="atLeast"/>
        </w:trPr>
        <w:tc>
          <w:tcPr>
            <w:tcW w:w="48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w:t>
            </w: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天和智慧商城项目</w:t>
            </w:r>
          </w:p>
        </w:tc>
        <w:tc>
          <w:tcPr>
            <w:tcW w:w="584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项目规划地下1层，地上6层。1—4层为奥特莱斯名品体验馆，</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利用三维立体科技为消费者提供全新“智慧”购物体验。5-6层为满族文化、雷锋文化艺术展示区，地下1层作为特色美食城。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Ex>
        <w:trPr>
          <w:trHeight w:val="441" w:hRule="atLeast"/>
        </w:trPr>
        <w:tc>
          <w:tcPr>
            <w:tcW w:w="48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w:t>
            </w: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贝勒儿童王国项目</w:t>
            </w:r>
          </w:p>
        </w:tc>
        <w:tc>
          <w:tcPr>
            <w:tcW w:w="584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建筑面积4000平的儿童益智乐园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Ex>
        <w:trPr>
          <w:trHeight w:val="644" w:hRule="atLeast"/>
        </w:trPr>
        <w:tc>
          <w:tcPr>
            <w:tcW w:w="48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w:t>
            </w: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塔峪山城古镇项目</w:t>
            </w:r>
          </w:p>
        </w:tc>
        <w:tc>
          <w:tcPr>
            <w:tcW w:w="584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打造具有地域旅游特色的，集住宿、购物、餐饮、文娱活动于一体的知名古镇.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Ex>
        <w:trPr>
          <w:trHeight w:val="644" w:hRule="atLeast"/>
        </w:trPr>
        <w:tc>
          <w:tcPr>
            <w:tcW w:w="48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古城煤精琥珀古玩一条街项目</w:t>
            </w:r>
          </w:p>
        </w:tc>
        <w:tc>
          <w:tcPr>
            <w:tcW w:w="584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以抚顺特产琥珀、煤精加工销售为主，兼营珠宝古玩、旅游产品等，打造具有地方特色的煤精琥珀古玩一条街。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trPr>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val="0"/>
              <w:topLinePunct w:val="0"/>
              <w:bidi w:val="0"/>
              <w:ind w:right="0" w:rightChars="0"/>
              <w:jc w:val="center"/>
              <w:textAlignment w:val="center"/>
              <w:rPr>
                <w:rFonts w:hint="eastAsia" w:ascii="宋体" w:hAnsi="宋体" w:cs="宋体"/>
                <w:i w:val="0"/>
                <w:color w:val="000000"/>
                <w:kern w:val="0"/>
                <w:sz w:val="21"/>
                <w:szCs w:val="21"/>
                <w:u w:val="none"/>
                <w:lang w:val="en-US" w:eastAsia="zh-CN" w:bidi="ar-SA"/>
              </w:rPr>
            </w:pPr>
            <w:r>
              <w:rPr>
                <w:rFonts w:hint="eastAsia" w:ascii="宋体" w:hAnsi="宋体" w:cs="宋体"/>
                <w:i w:val="0"/>
                <w:color w:val="000000"/>
                <w:kern w:val="0"/>
                <w:sz w:val="21"/>
                <w:szCs w:val="21"/>
                <w:u w:val="none"/>
                <w:lang w:val="en-US" w:eastAsia="zh-CN" w:bidi="ar-SA"/>
              </w:rPr>
              <w:t>9</w:t>
            </w:r>
          </w:p>
        </w:tc>
        <w:tc>
          <w:tcPr>
            <w:tcW w:w="2448" w:type="dxa"/>
            <w:tcBorders>
              <w:top w:val="single" w:color="000000" w:sz="4" w:space="0"/>
              <w:left w:val="single" w:color="000000" w:sz="4" w:space="0"/>
              <w:bottom w:val="single" w:color="000000" w:sz="4" w:space="0"/>
              <w:right w:val="single" w:color="auto" w:sz="4" w:space="0"/>
            </w:tcBorders>
            <w:shd w:val="clear" w:color="auto" w:fill="auto"/>
            <w:vAlign w:val="center"/>
          </w:tcPr>
          <w:p>
            <w:pPr>
              <w:pageBreakBefore w:val="0"/>
              <w:widowControl/>
              <w:kinsoku/>
              <w:wordWrap/>
              <w:overflowPunct w:val="0"/>
              <w:topLinePunct w:val="0"/>
              <w:bidi w:val="0"/>
              <w:ind w:right="0" w:rightChars="0"/>
              <w:jc w:val="center"/>
              <w:textAlignment w:val="center"/>
              <w:rPr>
                <w:rFonts w:hint="eastAsia" w:ascii="宋体" w:hAnsi="宋体" w:eastAsia="宋体" w:cs="宋体"/>
                <w:i w:val="0"/>
                <w:color w:val="000000"/>
                <w:kern w:val="0"/>
                <w:sz w:val="21"/>
                <w:szCs w:val="21"/>
                <w:u w:val="none"/>
                <w:lang w:val="en-US" w:eastAsia="zh-CN" w:bidi="ar-SA"/>
              </w:rPr>
            </w:pPr>
            <w:r>
              <w:rPr>
                <w:rFonts w:hint="eastAsia" w:ascii="宋体" w:hAnsi="宋体" w:cs="宋体"/>
                <w:i w:val="0"/>
                <w:color w:val="000000"/>
                <w:kern w:val="0"/>
                <w:sz w:val="21"/>
                <w:szCs w:val="21"/>
                <w:u w:val="none"/>
                <w:lang w:val="en-US" w:eastAsia="zh-CN" w:bidi="ar-SA"/>
              </w:rPr>
              <w:t>果菜批发配送中心项目</w:t>
            </w:r>
          </w:p>
        </w:tc>
        <w:tc>
          <w:tcPr>
            <w:tcW w:w="5845" w:type="dxa"/>
            <w:tcBorders>
              <w:top w:val="single" w:color="000000" w:sz="4" w:space="0"/>
              <w:left w:val="single" w:color="auto" w:sz="4" w:space="0"/>
              <w:bottom w:val="single" w:color="000000" w:sz="4" w:space="0"/>
              <w:right w:val="single" w:color="auto" w:sz="4" w:space="0"/>
            </w:tcBorders>
            <w:shd w:val="clear" w:color="auto" w:fill="auto"/>
            <w:vAlign w:val="center"/>
          </w:tcPr>
          <w:p>
            <w:pPr>
              <w:pageBreakBefore w:val="0"/>
              <w:widowControl/>
              <w:kinsoku/>
              <w:wordWrap/>
              <w:overflowPunct w:val="0"/>
              <w:topLinePunct w:val="0"/>
              <w:bidi w:val="0"/>
              <w:ind w:right="0" w:rightChars="0"/>
              <w:jc w:val="left"/>
              <w:textAlignment w:val="center"/>
              <w:rPr>
                <w:rFonts w:hint="eastAsia" w:ascii="宋体" w:hAnsi="宋体" w:eastAsia="宋体" w:cs="宋体"/>
                <w:i w:val="0"/>
                <w:color w:val="000000"/>
                <w:kern w:val="0"/>
                <w:sz w:val="21"/>
                <w:szCs w:val="21"/>
                <w:u w:val="none"/>
                <w:lang w:val="en-US" w:eastAsia="zh-CN" w:bidi="ar-SA"/>
              </w:rPr>
            </w:pPr>
            <w:r>
              <w:rPr>
                <w:rFonts w:hint="eastAsia" w:ascii="宋体" w:hAnsi="宋体" w:eastAsia="宋体" w:cs="宋体"/>
                <w:i w:val="0"/>
                <w:color w:val="000000"/>
                <w:kern w:val="0"/>
                <w:sz w:val="21"/>
                <w:szCs w:val="21"/>
                <w:u w:val="none"/>
                <w:lang w:val="en-US" w:eastAsia="zh-CN" w:bidi="ar-SA"/>
              </w:rPr>
              <w:t>建设具有集中交易、统一配送、检验检测等功能的大型果菜专业批发市场，形成跨区域、专业化的农产品批发、配送网络。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Ex>
        <w:trPr>
          <w:trHeight w:val="644" w:hRule="atLeast"/>
        </w:trPr>
        <w:tc>
          <w:tcPr>
            <w:tcW w:w="48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w:t>
            </w: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中国北方越野运动公园</w:t>
            </w:r>
          </w:p>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项目</w:t>
            </w:r>
          </w:p>
        </w:tc>
        <w:tc>
          <w:tcPr>
            <w:tcW w:w="5845" w:type="dxa"/>
            <w:tcBorders>
              <w:top w:val="single" w:color="000000" w:sz="4" w:space="0"/>
              <w:left w:val="single" w:color="000000" w:sz="4" w:space="0"/>
              <w:bottom w:val="single" w:color="000000" w:sz="4" w:space="0"/>
            </w:tcBorders>
            <w:shd w:val="clear" w:color="auto" w:fill="auto"/>
            <w:vAlign w:val="center"/>
          </w:tcPr>
          <w:p>
            <w:pPr>
              <w:rPr>
                <w:rFonts w:hint="eastAsia" w:ascii="宋体" w:hAnsi="宋体" w:eastAsia="宋体" w:cs="宋体"/>
                <w:i w:val="0"/>
                <w:color w:val="000000"/>
                <w:sz w:val="21"/>
                <w:szCs w:val="21"/>
                <w:u w:val="none"/>
              </w:rPr>
            </w:pPr>
            <w:r>
              <w:rPr>
                <w:rFonts w:hint="eastAsia" w:ascii="宋体" w:hAnsi="宋体" w:eastAsia="宋体" w:cs="宋体"/>
                <w:i w:val="0"/>
                <w:color w:val="000000"/>
                <w:sz w:val="21"/>
                <w:szCs w:val="21"/>
                <w:u w:val="none"/>
              </w:rPr>
              <w:t>搭建国际化，专业化，科技化的越野基地平台</w:t>
            </w:r>
            <w:r>
              <w:rPr>
                <w:rFonts w:hint="eastAsia" w:ascii="宋体" w:hAnsi="宋体" w:eastAsia="宋体" w:cs="宋体"/>
                <w:i w:val="0"/>
                <w:color w:val="000000"/>
                <w:sz w:val="21"/>
                <w:szCs w:val="21"/>
                <w:u w:val="none"/>
                <w:lang w:eastAsia="zh-CN"/>
              </w:rPr>
              <w:t>，</w:t>
            </w:r>
            <w:r>
              <w:rPr>
                <w:rFonts w:hint="eastAsia" w:ascii="宋体" w:hAnsi="宋体" w:eastAsia="宋体" w:cs="宋体"/>
                <w:i w:val="0"/>
                <w:color w:val="000000"/>
                <w:sz w:val="21"/>
                <w:szCs w:val="21"/>
                <w:u w:val="none"/>
              </w:rPr>
              <w:t>打造中国模式最新，最具专业、运动设施水准最高的全方位立体的越野基地。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51" w:hRule="atLeast"/>
        </w:trPr>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val="0"/>
              <w:topLinePunct w:val="0"/>
              <w:bidi w:val="0"/>
              <w:ind w:right="0" w:rightChars="0"/>
              <w:jc w:val="center"/>
              <w:textAlignment w:val="center"/>
              <w:rPr>
                <w:rFonts w:hint="eastAsia" w:ascii="宋体" w:hAnsi="宋体" w:eastAsia="宋体" w:cs="宋体"/>
                <w:i w:val="0"/>
                <w:color w:val="000000"/>
                <w:kern w:val="0"/>
                <w:sz w:val="21"/>
                <w:szCs w:val="21"/>
                <w:u w:val="none"/>
                <w:lang w:val="en-US" w:eastAsia="zh-CN" w:bidi="ar-SA"/>
              </w:rPr>
            </w:pPr>
            <w:r>
              <w:rPr>
                <w:rFonts w:hint="eastAsia" w:ascii="宋体" w:hAnsi="宋体" w:cs="宋体"/>
                <w:i w:val="0"/>
                <w:color w:val="000000"/>
                <w:kern w:val="0"/>
                <w:sz w:val="21"/>
                <w:szCs w:val="21"/>
                <w:u w:val="none"/>
                <w:lang w:val="en-US" w:eastAsia="zh-CN" w:bidi="ar-SA"/>
              </w:rPr>
              <w:t>11</w:t>
            </w:r>
          </w:p>
        </w:tc>
        <w:tc>
          <w:tcPr>
            <w:tcW w:w="2448" w:type="dxa"/>
            <w:tcBorders>
              <w:top w:val="single" w:color="000000" w:sz="4" w:space="0"/>
              <w:left w:val="single" w:color="000000" w:sz="4" w:space="0"/>
              <w:bottom w:val="single" w:color="000000" w:sz="4" w:space="0"/>
              <w:right w:val="single" w:color="auto" w:sz="4" w:space="0"/>
            </w:tcBorders>
            <w:shd w:val="clear" w:color="auto" w:fill="auto"/>
            <w:vAlign w:val="center"/>
          </w:tcPr>
          <w:p>
            <w:pPr>
              <w:pageBreakBefore w:val="0"/>
              <w:widowControl/>
              <w:kinsoku/>
              <w:wordWrap/>
              <w:overflowPunct w:val="0"/>
              <w:topLinePunct w:val="0"/>
              <w:bidi w:val="0"/>
              <w:ind w:right="0" w:rightChars="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SA"/>
              </w:rPr>
              <w:t>国际金融产业园项目</w:t>
            </w:r>
          </w:p>
        </w:tc>
        <w:tc>
          <w:tcPr>
            <w:tcW w:w="5845" w:type="dxa"/>
            <w:tcBorders>
              <w:top w:val="single" w:color="000000" w:sz="4" w:space="0"/>
              <w:left w:val="single" w:color="auto" w:sz="4" w:space="0"/>
              <w:bottom w:val="single" w:color="000000" w:sz="4" w:space="0"/>
              <w:right w:val="single" w:color="auto" w:sz="4" w:space="0"/>
            </w:tcBorders>
            <w:shd w:val="clear" w:color="auto" w:fill="auto"/>
            <w:vAlign w:val="center"/>
          </w:tcPr>
          <w:p>
            <w:pPr>
              <w:pageBreakBefore w:val="0"/>
              <w:widowControl/>
              <w:kinsoku/>
              <w:wordWrap/>
              <w:overflowPunct w:val="0"/>
              <w:topLinePunct w:val="0"/>
              <w:bidi w:val="0"/>
              <w:ind w:right="0" w:rightChars="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SA"/>
              </w:rPr>
              <w:t>引进全体系金融机构，搭建金融公共事业、金融产业信息、金融创新服务等功能复合平台，创建国家级金融产业综合服务基地。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41" w:hRule="atLeast"/>
        </w:trPr>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val="0"/>
              <w:topLinePunct w:val="0"/>
              <w:bidi w:val="0"/>
              <w:ind w:right="0" w:rightChars="0"/>
              <w:jc w:val="center"/>
              <w:textAlignment w:val="center"/>
              <w:rPr>
                <w:rFonts w:hint="eastAsia" w:ascii="宋体" w:hAnsi="宋体" w:eastAsia="宋体" w:cs="宋体"/>
                <w:i w:val="0"/>
                <w:color w:val="000000"/>
                <w:kern w:val="0"/>
                <w:sz w:val="21"/>
                <w:szCs w:val="21"/>
                <w:u w:val="none"/>
                <w:lang w:val="en-US" w:eastAsia="zh-CN" w:bidi="ar-SA"/>
              </w:rPr>
            </w:pPr>
            <w:r>
              <w:rPr>
                <w:rFonts w:hint="eastAsia" w:ascii="宋体" w:hAnsi="宋体" w:cs="宋体"/>
                <w:i w:val="0"/>
                <w:color w:val="000000"/>
                <w:kern w:val="0"/>
                <w:sz w:val="21"/>
                <w:szCs w:val="21"/>
                <w:u w:val="none"/>
                <w:lang w:val="en-US" w:eastAsia="zh-CN" w:bidi="ar-SA"/>
              </w:rPr>
              <w:t>12</w:t>
            </w:r>
          </w:p>
        </w:tc>
        <w:tc>
          <w:tcPr>
            <w:tcW w:w="2448" w:type="dxa"/>
            <w:tcBorders>
              <w:top w:val="single" w:color="000000" w:sz="4" w:space="0"/>
              <w:left w:val="single" w:color="000000" w:sz="4" w:space="0"/>
              <w:bottom w:val="single" w:color="000000" w:sz="4" w:space="0"/>
              <w:right w:val="single" w:color="auto" w:sz="4" w:space="0"/>
            </w:tcBorders>
            <w:shd w:val="clear" w:color="auto" w:fill="auto"/>
            <w:vAlign w:val="center"/>
          </w:tcPr>
          <w:p>
            <w:pPr>
              <w:pageBreakBefore w:val="0"/>
              <w:widowControl/>
              <w:kinsoku/>
              <w:wordWrap/>
              <w:overflowPunct w:val="0"/>
              <w:topLinePunct w:val="0"/>
              <w:bidi w:val="0"/>
              <w:ind w:right="0" w:rightChars="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SA"/>
              </w:rPr>
              <w:t>东北网贸港项目</w:t>
            </w:r>
          </w:p>
        </w:tc>
        <w:tc>
          <w:tcPr>
            <w:tcW w:w="5845" w:type="dxa"/>
            <w:tcBorders>
              <w:top w:val="single" w:color="000000" w:sz="4" w:space="0"/>
              <w:left w:val="single" w:color="auto" w:sz="4" w:space="0"/>
              <w:bottom w:val="single" w:color="000000" w:sz="4" w:space="0"/>
              <w:right w:val="single" w:color="auto" w:sz="4" w:space="0"/>
            </w:tcBorders>
            <w:shd w:val="clear" w:color="auto" w:fill="auto"/>
            <w:vAlign w:val="center"/>
          </w:tcPr>
          <w:p>
            <w:pPr>
              <w:pageBreakBefore w:val="0"/>
              <w:widowControl/>
              <w:kinsoku/>
              <w:wordWrap/>
              <w:overflowPunct w:val="0"/>
              <w:topLinePunct w:val="0"/>
              <w:bidi w:val="0"/>
              <w:ind w:right="0" w:rightChars="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SA"/>
              </w:rPr>
              <w:t>以建设沈抚电商智慧谷为核心，重点发展电子商务、商贸物流、文化创意和中介服务业等四大产业。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67" w:hRule="atLeast"/>
        </w:trPr>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val="0"/>
              <w:topLinePunct w:val="0"/>
              <w:bidi w:val="0"/>
              <w:ind w:right="0" w:rightChars="0"/>
              <w:jc w:val="center"/>
              <w:textAlignment w:val="center"/>
              <w:rPr>
                <w:rFonts w:hint="eastAsia" w:ascii="宋体" w:hAnsi="宋体" w:eastAsia="宋体" w:cs="宋体"/>
                <w:i w:val="0"/>
                <w:color w:val="000000"/>
                <w:kern w:val="0"/>
                <w:sz w:val="21"/>
                <w:szCs w:val="21"/>
                <w:u w:val="none"/>
                <w:lang w:val="en-US" w:eastAsia="zh-CN" w:bidi="ar-SA"/>
              </w:rPr>
            </w:pPr>
            <w:r>
              <w:rPr>
                <w:rFonts w:hint="eastAsia" w:ascii="宋体" w:hAnsi="宋体" w:cs="宋体"/>
                <w:i w:val="0"/>
                <w:color w:val="000000"/>
                <w:kern w:val="0"/>
                <w:sz w:val="21"/>
                <w:szCs w:val="21"/>
                <w:u w:val="none"/>
                <w:lang w:val="en-US" w:eastAsia="zh-CN" w:bidi="ar-SA"/>
              </w:rPr>
              <w:t>13</w:t>
            </w:r>
          </w:p>
        </w:tc>
        <w:tc>
          <w:tcPr>
            <w:tcW w:w="2448" w:type="dxa"/>
            <w:tcBorders>
              <w:top w:val="single" w:color="000000" w:sz="4" w:space="0"/>
              <w:left w:val="single" w:color="000000" w:sz="4" w:space="0"/>
              <w:bottom w:val="single" w:color="000000" w:sz="4" w:space="0"/>
              <w:right w:val="single" w:color="auto" w:sz="4" w:space="0"/>
            </w:tcBorders>
            <w:shd w:val="clear" w:color="auto" w:fill="auto"/>
            <w:vAlign w:val="center"/>
          </w:tcPr>
          <w:p>
            <w:pPr>
              <w:pageBreakBefore w:val="0"/>
              <w:widowControl/>
              <w:kinsoku/>
              <w:wordWrap/>
              <w:overflowPunct w:val="0"/>
              <w:topLinePunct w:val="0"/>
              <w:bidi w:val="0"/>
              <w:ind w:right="0" w:rightChars="0"/>
              <w:jc w:val="center"/>
              <w:textAlignment w:val="center"/>
              <w:rPr>
                <w:rFonts w:hint="eastAsia" w:ascii="宋体" w:hAnsi="宋体" w:eastAsia="宋体" w:cs="宋体"/>
                <w:i w:val="0"/>
                <w:color w:val="000000"/>
                <w:kern w:val="0"/>
                <w:sz w:val="21"/>
                <w:szCs w:val="21"/>
                <w:u w:val="none"/>
                <w:lang w:val="en-US" w:eastAsia="zh-CN" w:bidi="ar-SA"/>
              </w:rPr>
            </w:pPr>
            <w:r>
              <w:rPr>
                <w:rFonts w:hint="eastAsia" w:ascii="宋体" w:hAnsi="宋体" w:eastAsia="宋体" w:cs="宋体"/>
                <w:i w:val="0"/>
                <w:color w:val="000000"/>
                <w:kern w:val="0"/>
                <w:sz w:val="21"/>
                <w:szCs w:val="21"/>
                <w:u w:val="none"/>
                <w:lang w:val="en-US" w:eastAsia="zh-CN" w:bidi="ar-SA"/>
              </w:rPr>
              <w:t>东北亚钢铁网电子商务</w:t>
            </w:r>
          </w:p>
          <w:p>
            <w:pPr>
              <w:pageBreakBefore w:val="0"/>
              <w:widowControl/>
              <w:kinsoku/>
              <w:wordWrap/>
              <w:overflowPunct w:val="0"/>
              <w:topLinePunct w:val="0"/>
              <w:bidi w:val="0"/>
              <w:ind w:right="0" w:rightChars="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SA"/>
              </w:rPr>
              <w:t>项目</w:t>
            </w:r>
          </w:p>
        </w:tc>
        <w:tc>
          <w:tcPr>
            <w:tcW w:w="5845" w:type="dxa"/>
            <w:tcBorders>
              <w:top w:val="single" w:color="000000" w:sz="4" w:space="0"/>
              <w:left w:val="single" w:color="auto" w:sz="4" w:space="0"/>
              <w:bottom w:val="single" w:color="000000" w:sz="4" w:space="0"/>
              <w:right w:val="single" w:color="auto" w:sz="4" w:space="0"/>
            </w:tcBorders>
            <w:shd w:val="clear" w:color="auto" w:fill="auto"/>
            <w:vAlign w:val="center"/>
          </w:tcPr>
          <w:p>
            <w:pPr>
              <w:pageBreakBefore w:val="0"/>
              <w:widowControl/>
              <w:kinsoku/>
              <w:wordWrap/>
              <w:overflowPunct w:val="0"/>
              <w:topLinePunct w:val="0"/>
              <w:bidi w:val="0"/>
              <w:ind w:right="0" w:rightChars="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SA"/>
              </w:rPr>
              <w:t>应用信息技术改造和提升传统钢铁流通行业的业务方式，整合资源、降低成本、提高效率。利用巨大的仓储资源，专业的加工配送服务，对B2B或B2C电子商务提供物流支持。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32" w:hRule="atLeast"/>
        </w:trPr>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val="0"/>
              <w:topLinePunct w:val="0"/>
              <w:bidi w:val="0"/>
              <w:ind w:right="0" w:rightChars="0"/>
              <w:jc w:val="center"/>
              <w:textAlignment w:val="center"/>
              <w:rPr>
                <w:rFonts w:hint="eastAsia" w:ascii="宋体" w:hAnsi="宋体" w:eastAsia="宋体" w:cs="宋体"/>
                <w:i w:val="0"/>
                <w:color w:val="000000"/>
                <w:kern w:val="0"/>
                <w:sz w:val="21"/>
                <w:szCs w:val="21"/>
                <w:u w:val="none"/>
                <w:lang w:val="en-US" w:eastAsia="zh-CN" w:bidi="ar-SA"/>
              </w:rPr>
            </w:pPr>
            <w:r>
              <w:rPr>
                <w:rFonts w:hint="eastAsia" w:ascii="宋体" w:hAnsi="宋体" w:cs="宋体"/>
                <w:i w:val="0"/>
                <w:color w:val="000000"/>
                <w:kern w:val="0"/>
                <w:sz w:val="21"/>
                <w:szCs w:val="21"/>
                <w:u w:val="none"/>
                <w:lang w:val="en-US" w:eastAsia="zh-CN" w:bidi="ar-SA"/>
              </w:rPr>
              <w:t>14</w:t>
            </w:r>
          </w:p>
        </w:tc>
        <w:tc>
          <w:tcPr>
            <w:tcW w:w="2448" w:type="dxa"/>
            <w:tcBorders>
              <w:top w:val="single" w:color="000000" w:sz="4" w:space="0"/>
              <w:left w:val="single" w:color="000000" w:sz="4" w:space="0"/>
              <w:bottom w:val="single" w:color="000000" w:sz="4" w:space="0"/>
              <w:right w:val="single" w:color="auto" w:sz="4" w:space="0"/>
            </w:tcBorders>
            <w:shd w:val="clear" w:color="auto" w:fill="auto"/>
            <w:vAlign w:val="center"/>
          </w:tcPr>
          <w:p>
            <w:pPr>
              <w:pageBreakBefore w:val="0"/>
              <w:widowControl/>
              <w:kinsoku/>
              <w:wordWrap/>
              <w:overflowPunct w:val="0"/>
              <w:topLinePunct w:val="0"/>
              <w:bidi w:val="0"/>
              <w:ind w:right="0" w:rightChars="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SA"/>
              </w:rPr>
              <w:t>动漫影视文化产业园项目</w:t>
            </w:r>
          </w:p>
        </w:tc>
        <w:tc>
          <w:tcPr>
            <w:tcW w:w="5845" w:type="dxa"/>
            <w:tcBorders>
              <w:top w:val="single" w:color="000000" w:sz="4" w:space="0"/>
              <w:left w:val="single" w:color="auto" w:sz="4" w:space="0"/>
              <w:bottom w:val="single" w:color="000000" w:sz="4" w:space="0"/>
              <w:right w:val="single" w:color="auto" w:sz="4" w:space="0"/>
            </w:tcBorders>
            <w:shd w:val="clear" w:color="auto" w:fill="auto"/>
            <w:vAlign w:val="center"/>
          </w:tcPr>
          <w:p>
            <w:pPr>
              <w:pageBreakBefore w:val="0"/>
              <w:widowControl/>
              <w:kinsoku/>
              <w:wordWrap/>
              <w:overflowPunct w:val="0"/>
              <w:topLinePunct w:val="0"/>
              <w:bidi w:val="0"/>
              <w:ind w:right="0" w:rightChars="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SA"/>
              </w:rPr>
              <w:t>大力发展文化产业，推动文化产品和服务出口。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2" w:hRule="atLeast"/>
        </w:trPr>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val="0"/>
              <w:topLinePunct w:val="0"/>
              <w:bidi w:val="0"/>
              <w:ind w:right="0" w:rightChars="0"/>
              <w:jc w:val="center"/>
              <w:textAlignment w:val="center"/>
              <w:rPr>
                <w:rFonts w:hint="eastAsia" w:ascii="宋体" w:hAnsi="宋体" w:cs="宋体"/>
                <w:i w:val="0"/>
                <w:color w:val="000000"/>
                <w:kern w:val="0"/>
                <w:sz w:val="21"/>
                <w:szCs w:val="21"/>
                <w:u w:val="none"/>
                <w:lang w:val="en-US" w:eastAsia="zh-CN" w:bidi="ar-SA"/>
              </w:rPr>
            </w:pPr>
            <w:r>
              <w:rPr>
                <w:rFonts w:hint="eastAsia" w:ascii="宋体" w:hAnsi="宋体" w:cs="宋体"/>
                <w:i w:val="0"/>
                <w:color w:val="000000"/>
                <w:kern w:val="0"/>
                <w:sz w:val="21"/>
                <w:szCs w:val="21"/>
                <w:u w:val="none"/>
                <w:lang w:val="en-US" w:eastAsia="zh-CN" w:bidi="ar-SA"/>
              </w:rPr>
              <w:t>15</w:t>
            </w:r>
          </w:p>
        </w:tc>
        <w:tc>
          <w:tcPr>
            <w:tcW w:w="2448" w:type="dxa"/>
            <w:tcBorders>
              <w:top w:val="single" w:color="000000" w:sz="4" w:space="0"/>
              <w:left w:val="single" w:color="000000" w:sz="4" w:space="0"/>
              <w:bottom w:val="single" w:color="000000" w:sz="4" w:space="0"/>
              <w:right w:val="single" w:color="auto" w:sz="4" w:space="0"/>
            </w:tcBorders>
            <w:shd w:val="clear" w:color="auto" w:fill="auto"/>
            <w:vAlign w:val="center"/>
          </w:tcPr>
          <w:p>
            <w:pPr>
              <w:pageBreakBefore w:val="0"/>
              <w:widowControl/>
              <w:kinsoku/>
              <w:wordWrap/>
              <w:overflowPunct w:val="0"/>
              <w:topLinePunct w:val="0"/>
              <w:bidi w:val="0"/>
              <w:ind w:right="0" w:rightChars="0"/>
              <w:jc w:val="center"/>
              <w:textAlignment w:val="center"/>
              <w:rPr>
                <w:rFonts w:hint="eastAsia" w:ascii="宋体" w:hAnsi="宋体" w:eastAsia="宋体" w:cs="宋体"/>
                <w:i w:val="0"/>
                <w:color w:val="000000"/>
                <w:kern w:val="0"/>
                <w:sz w:val="21"/>
                <w:szCs w:val="21"/>
                <w:u w:val="none"/>
                <w:lang w:val="en-US" w:eastAsia="zh-CN" w:bidi="ar-SA"/>
              </w:rPr>
            </w:pPr>
            <w:r>
              <w:rPr>
                <w:rFonts w:hint="eastAsia" w:ascii="宋体" w:hAnsi="宋体" w:cs="宋体"/>
                <w:i w:val="0"/>
                <w:color w:val="000000"/>
                <w:kern w:val="0"/>
                <w:sz w:val="21"/>
                <w:szCs w:val="21"/>
                <w:u w:val="none"/>
                <w:lang w:val="en-US" w:eastAsia="zh-CN" w:bidi="ar-SA"/>
              </w:rPr>
              <w:t>红星美凯龙商业项目</w:t>
            </w:r>
          </w:p>
        </w:tc>
        <w:tc>
          <w:tcPr>
            <w:tcW w:w="5845" w:type="dxa"/>
            <w:tcBorders>
              <w:top w:val="single" w:color="000000" w:sz="4" w:space="0"/>
              <w:left w:val="single" w:color="auto" w:sz="4" w:space="0"/>
              <w:bottom w:val="single" w:color="000000" w:sz="4" w:space="0"/>
              <w:right w:val="single" w:color="auto" w:sz="4" w:space="0"/>
            </w:tcBorders>
            <w:shd w:val="clear" w:color="auto" w:fill="auto"/>
            <w:vAlign w:val="center"/>
          </w:tcPr>
          <w:p>
            <w:pPr>
              <w:pageBreakBefore w:val="0"/>
              <w:widowControl/>
              <w:kinsoku/>
              <w:wordWrap/>
              <w:overflowPunct w:val="0"/>
              <w:topLinePunct w:val="0"/>
              <w:bidi w:val="0"/>
              <w:ind w:right="0" w:rightChars="0"/>
              <w:jc w:val="left"/>
              <w:textAlignment w:val="center"/>
              <w:rPr>
                <w:rFonts w:hint="eastAsia" w:ascii="宋体" w:hAnsi="宋体" w:eastAsia="宋体" w:cs="宋体"/>
                <w:i w:val="0"/>
                <w:color w:val="000000"/>
                <w:kern w:val="0"/>
                <w:sz w:val="21"/>
                <w:szCs w:val="21"/>
                <w:u w:val="none"/>
                <w:lang w:val="en-US" w:eastAsia="zh-CN" w:bidi="ar-SA"/>
              </w:rPr>
            </w:pPr>
            <w:r>
              <w:rPr>
                <w:rFonts w:hint="eastAsia" w:ascii="宋体" w:hAnsi="宋体" w:cs="宋体"/>
                <w:i w:val="0"/>
                <w:color w:val="000000"/>
                <w:kern w:val="0"/>
                <w:sz w:val="21"/>
                <w:szCs w:val="21"/>
                <w:u w:val="none"/>
                <w:lang w:val="en-US" w:eastAsia="zh-CN" w:bidi="ar-SA"/>
              </w:rPr>
              <w:t>总建筑面积5万平米，以家居商场为主体，集家居市场、装饰材料市场为一体的购物广场。</w:t>
            </w:r>
          </w:p>
        </w:tc>
      </w:tr>
    </w:tbl>
    <w:p>
      <w:pPr>
        <w:pStyle w:val="3"/>
        <w:keepNext/>
        <w:keepLines/>
        <w:pageBreakBefore w:val="0"/>
        <w:widowControl w:val="0"/>
        <w:kinsoku/>
        <w:wordWrap/>
        <w:overflowPunct/>
        <w:topLinePunct w:val="0"/>
        <w:autoSpaceDE/>
        <w:autoSpaceDN/>
        <w:bidi w:val="0"/>
        <w:adjustRightInd/>
        <w:snapToGrid/>
        <w:spacing w:before="260" w:beforeLines="0" w:after="260" w:afterLines="0" w:line="240" w:lineRule="exact"/>
        <w:ind w:left="0" w:leftChars="0" w:right="0" w:rightChars="0" w:firstLine="0" w:firstLineChars="0"/>
        <w:jc w:val="center"/>
        <w:textAlignment w:val="auto"/>
        <w:outlineLvl w:val="1"/>
        <w:rPr>
          <w:rFonts w:hint="eastAsia" w:ascii="仿宋_GB2312" w:hAnsi="仿宋_GB2312" w:eastAsia="仿宋_GB2312" w:cs="仿宋_GB2312"/>
          <w:sz w:val="24"/>
          <w:szCs w:val="24"/>
        </w:rPr>
      </w:pPr>
    </w:p>
    <w:p>
      <w:pPr>
        <w:pStyle w:val="3"/>
        <w:rPr>
          <w:rFonts w:hint="eastAsia"/>
        </w:rPr>
      </w:pPr>
      <w:bookmarkStart w:id="27" w:name="_Toc15553"/>
      <w:r>
        <w:rPr>
          <w:rFonts w:hint="eastAsia"/>
        </w:rPr>
        <w:t>第二节　打造现代工业发展体系</w:t>
      </w:r>
      <w:bookmarkEnd w:id="27"/>
    </w:p>
    <w:p>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eastAsia="仿宋_GB2312"/>
          <w:sz w:val="24"/>
          <w:szCs w:val="24"/>
        </w:rPr>
      </w:pPr>
    </w:p>
    <w:p>
      <w:pPr>
        <w:pageBreakBefore w:val="0"/>
        <w:kinsoku/>
        <w:wordWrap/>
        <w:overflowPunct w:val="0"/>
        <w:topLinePunct w:val="0"/>
        <w:bidi w:val="0"/>
        <w:ind w:right="0" w:rightChars="0"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全面落实推进《中国制造2025》，</w:t>
      </w:r>
      <w:r>
        <w:rPr>
          <w:rFonts w:hint="eastAsia" w:ascii="仿宋_GB2312" w:eastAsia="仿宋_GB2312"/>
          <w:sz w:val="32"/>
          <w:szCs w:val="32"/>
        </w:rPr>
        <w:t>坚持增量提升与存量优化并举，调结构与促发展并重，以信息化带动工业化，以工业化促进信息化，重点发展战略性新兴产业，改造传统产业，优化产业结构和产业布局，走出一条科技含量高、经济效益好、资源消耗低、环境污染少、人力资源优势得到充分发挥的新型工业化道路。到2020年，实现工业集聚化、链条化、高端化、智能化发展，实现</w:t>
      </w:r>
      <w:r>
        <w:rPr>
          <w:rFonts w:hint="eastAsia" w:ascii="仿宋_GB2312" w:eastAsia="仿宋_GB2312"/>
          <w:sz w:val="32"/>
          <w:szCs w:val="32"/>
          <w:lang w:eastAsia="zh-CN"/>
        </w:rPr>
        <w:t>规模以上工业企业总产值</w:t>
      </w:r>
      <w:r>
        <w:rPr>
          <w:rFonts w:hint="eastAsia" w:ascii="仿宋_GB2312" w:eastAsia="仿宋_GB2312"/>
          <w:sz w:val="32"/>
          <w:szCs w:val="32"/>
          <w:lang w:val="en-US" w:eastAsia="zh-CN"/>
        </w:rPr>
        <w:t>294亿元。</w:t>
      </w:r>
    </w:p>
    <w:p>
      <w:pPr>
        <w:pageBreakBefore w:val="0"/>
        <w:kinsoku/>
        <w:wordWrap/>
        <w:overflowPunct w:val="0"/>
        <w:topLinePunct w:val="0"/>
        <w:bidi w:val="0"/>
        <w:ind w:right="0" w:rightChars="0" w:firstLine="640" w:firstLineChars="200"/>
        <w:rPr>
          <w:rFonts w:hint="eastAsia" w:ascii="仿宋_GB2312" w:eastAsia="仿宋_GB2312"/>
          <w:sz w:val="32"/>
          <w:szCs w:val="32"/>
          <w:lang w:val="en-US" w:eastAsia="zh-CN"/>
        </w:rPr>
      </w:pPr>
      <w:r>
        <w:rPr>
          <w:rFonts w:hint="eastAsia" w:ascii="仿宋_GB2312" w:eastAsia="仿宋_GB2312"/>
          <w:b/>
          <w:bCs/>
          <w:sz w:val="32"/>
          <w:szCs w:val="32"/>
        </w:rPr>
        <w:t>推动信息化带动工业化。</w:t>
      </w:r>
      <w:r>
        <w:rPr>
          <w:rFonts w:hint="eastAsia" w:ascii="仿宋_GB2312" w:eastAsia="仿宋_GB2312"/>
          <w:sz w:val="32"/>
          <w:szCs w:val="32"/>
        </w:rPr>
        <w:t>发挥政府在信息化过程中的先导作用，制定和完善望花</w:t>
      </w:r>
      <w:r>
        <w:rPr>
          <w:rFonts w:hint="eastAsia" w:ascii="仿宋_GB2312" w:eastAsia="仿宋_GB2312"/>
          <w:sz w:val="32"/>
          <w:szCs w:val="32"/>
          <w:lang w:eastAsia="zh-CN"/>
        </w:rPr>
        <w:t>区</w:t>
      </w:r>
      <w:r>
        <w:rPr>
          <w:rFonts w:hint="eastAsia" w:ascii="仿宋_GB2312" w:eastAsia="仿宋_GB2312"/>
          <w:sz w:val="32"/>
          <w:szCs w:val="32"/>
        </w:rPr>
        <w:t>政府信息化建设发展规划，建立健全政府信息化网络框架体系，为转变行政管理方式提供物质基础；重点发挥企业信息化的核心作用，提高企业信息化建设的内在主动性，支持企业的产品研发、生产、销售、服务等诸多环节，实现信息采集、加工和管理的系统化、网络化、集成化、信息流通的高效化和实时化，最终实现全面供应链管理和电子商务；发挥社会信息化带动工业化的根本作用，坚持“统筹规划、政府主导；同一标准，联合建设；互联互通，资源共享”的指导方针，建立起健全的信息化体系，加快社会信息化的建设步伐。</w:t>
      </w:r>
    </w:p>
    <w:p>
      <w:pPr>
        <w:pageBreakBefore w:val="0"/>
        <w:kinsoku/>
        <w:wordWrap/>
        <w:overflowPunct w:val="0"/>
        <w:topLinePunct w:val="0"/>
        <w:bidi w:val="0"/>
        <w:ind w:right="0" w:rightChars="0" w:firstLine="640" w:firstLineChars="200"/>
        <w:rPr>
          <w:rFonts w:hint="eastAsia" w:ascii="仿宋_GB2312" w:eastAsia="仿宋_GB2312"/>
          <w:sz w:val="32"/>
          <w:szCs w:val="32"/>
          <w:lang w:val="en-US" w:eastAsia="zh-CN"/>
        </w:rPr>
      </w:pPr>
      <w:r>
        <w:rPr>
          <w:rFonts w:hint="eastAsia" w:ascii="仿宋_GB2312" w:eastAsia="仿宋_GB2312"/>
          <w:b/>
          <w:bCs/>
          <w:sz w:val="32"/>
          <w:szCs w:val="32"/>
          <w:lang w:val="en-US" w:eastAsia="zh-CN"/>
        </w:rPr>
        <w:t>全面推进工业转型升级。</w:t>
      </w:r>
      <w:r>
        <w:rPr>
          <w:rFonts w:hint="eastAsia" w:ascii="仿宋_GB2312" w:eastAsia="仿宋_GB2312"/>
          <w:sz w:val="32"/>
          <w:szCs w:val="32"/>
          <w:lang w:val="en-US" w:eastAsia="zh-CN"/>
        </w:rPr>
        <w:t>以市场为导向，以优势资源、主导产业为支撑，以提高发展质量和效益水平为重点，发挥龙头企业基础性和带动、辐射作用，在精、细、尖、特方面寻求突破，培育和发展一批特色明显、结构优化、市场竞争力强的产业集群，为消费型城区建设奠定坚实基础。</w:t>
      </w:r>
      <w:r>
        <w:rPr>
          <w:rFonts w:hint="eastAsia" w:ascii="仿宋_GB2312" w:eastAsia="仿宋_GB2312"/>
          <w:b/>
          <w:bCs/>
          <w:sz w:val="32"/>
          <w:szCs w:val="32"/>
          <w:lang w:val="en-US" w:eastAsia="zh-CN"/>
        </w:rPr>
        <w:t>改造提升化工业。</w:t>
      </w:r>
      <w:r>
        <w:rPr>
          <w:rFonts w:hint="eastAsia" w:ascii="仿宋_GB2312" w:eastAsia="仿宋_GB2312"/>
          <w:sz w:val="32"/>
          <w:szCs w:val="32"/>
        </w:rPr>
        <w:t>以新材料产业园区为基础，</w:t>
      </w:r>
      <w:r>
        <w:rPr>
          <w:rFonts w:ascii="仿宋_GB2312" w:eastAsia="仿宋_GB2312" w:cs="宋体"/>
          <w:color w:val="000000"/>
          <w:sz w:val="32"/>
          <w:szCs w:val="32"/>
          <w:lang w:val="zh-CN"/>
        </w:rPr>
        <w:t>发展壮大一批化工企业</w:t>
      </w:r>
      <w:r>
        <w:rPr>
          <w:rFonts w:hint="eastAsia" w:ascii="仿宋_GB2312" w:eastAsia="仿宋_GB2312" w:cs="宋体"/>
          <w:color w:val="000000"/>
          <w:sz w:val="32"/>
          <w:szCs w:val="32"/>
          <w:lang w:val="zh-CN"/>
        </w:rPr>
        <w:t>，</w:t>
      </w:r>
      <w:r>
        <w:rPr>
          <w:rFonts w:hint="eastAsia" w:ascii="仿宋_GB2312" w:eastAsia="仿宋_GB2312"/>
          <w:sz w:val="32"/>
          <w:szCs w:val="32"/>
        </w:rPr>
        <w:t>增强新产品开发能力，提高产品技术含量和附加值，加快产品升级换代。</w:t>
      </w:r>
      <w:r>
        <w:rPr>
          <w:rFonts w:hint="eastAsia" w:ascii="仿宋_GB2312" w:eastAsia="仿宋_GB2312"/>
          <w:sz w:val="32"/>
          <w:szCs w:val="32"/>
          <w:lang w:val="zh-CN"/>
        </w:rPr>
        <w:t>重点推进顺辉化工与中科院合作的左旋肉碱减肥胶囊等项目</w:t>
      </w:r>
      <w:r>
        <w:rPr>
          <w:rFonts w:hint="eastAsia" w:ascii="仿宋_GB2312" w:eastAsia="仿宋_GB2312"/>
          <w:sz w:val="32"/>
          <w:szCs w:val="32"/>
          <w:lang w:eastAsia="zh-CN"/>
        </w:rPr>
        <w:t>，</w:t>
      </w:r>
      <w:r>
        <w:rPr>
          <w:rFonts w:hint="eastAsia" w:ascii="仿宋_GB2312" w:eastAsia="仿宋_GB2312"/>
          <w:sz w:val="32"/>
          <w:szCs w:val="32"/>
        </w:rPr>
        <w:t>帮助瑞华纤维</w:t>
      </w:r>
      <w:r>
        <w:rPr>
          <w:rFonts w:hint="eastAsia" w:ascii="仿宋_GB2312" w:eastAsia="仿宋_GB2312"/>
          <w:sz w:val="32"/>
          <w:szCs w:val="32"/>
          <w:lang w:eastAsia="zh-CN"/>
        </w:rPr>
        <w:t>等企业</w:t>
      </w:r>
      <w:r>
        <w:rPr>
          <w:rFonts w:hint="eastAsia" w:ascii="仿宋_GB2312" w:eastAsia="仿宋_GB2312"/>
          <w:sz w:val="32"/>
          <w:szCs w:val="32"/>
          <w:lang w:val="zh-CN"/>
        </w:rPr>
        <w:t>发展壮大，并积极引进一批精细化工加工项目，使之真正成为望花区的重要产业。</w:t>
      </w:r>
      <w:r>
        <w:rPr>
          <w:rFonts w:hint="eastAsia" w:ascii="仿宋_GB2312" w:eastAsia="仿宋_GB2312"/>
          <w:b/>
          <w:bCs/>
          <w:sz w:val="32"/>
          <w:szCs w:val="32"/>
          <w:lang w:val="en-US" w:eastAsia="zh-CN"/>
        </w:rPr>
        <w:t>调整优化冶金业。</w:t>
      </w:r>
      <w:r>
        <w:rPr>
          <w:rFonts w:hint="eastAsia" w:ascii="仿宋_GB2312" w:eastAsia="仿宋_GB2312"/>
          <w:b w:val="0"/>
          <w:bCs w:val="0"/>
          <w:sz w:val="32"/>
          <w:szCs w:val="32"/>
          <w:lang w:val="en-US" w:eastAsia="zh-CN"/>
        </w:rPr>
        <w:t>以经济开发区建设冶材深加工产业集群为重点，以抚顺特钢、新抚钢的产品资源为依托，大力发展冶材深加工业，调整产业结构。重点发展高温合金、耐蚀合金、超高强度钢、不锈钢、工模具钢、钛合金、合金结构钢大尺寸锻材、可逆式中板热轧、特种不锈钢、铝轮毂毛坯等产品。</w:t>
      </w:r>
      <w:r>
        <w:rPr>
          <w:rFonts w:hint="eastAsia" w:ascii="仿宋_GB2312" w:eastAsia="仿宋_GB2312"/>
          <w:b/>
          <w:bCs/>
          <w:sz w:val="32"/>
          <w:szCs w:val="32"/>
          <w:lang w:val="en-US" w:eastAsia="zh-CN"/>
        </w:rPr>
        <w:t>化解产能过剩矛盾。</w:t>
      </w:r>
      <w:r>
        <w:rPr>
          <w:rFonts w:hint="eastAsia" w:ascii="仿宋_GB2312" w:eastAsia="仿宋_GB2312"/>
          <w:sz w:val="32"/>
          <w:szCs w:val="32"/>
          <w:lang w:val="en-US" w:eastAsia="zh-CN"/>
        </w:rPr>
        <w:t>加快建立过剩行业产能预警机制、监督机制和化解过剩产能长效机制，发挥市场机制作用，严格行业市场准入标准，淘汰落后钢铁、水泥产能，分类处理违规在建项目，清理整顿违规建成产能，支持产能过剩企业改造升级或转型发展，研究激活存量方式方法，探索僵尸企业安乐死、兼并重组等化解产能过剩配套政策，因地因企制宜，消化一批、转移一批、整合一批和淘汰一批过剩产能。</w:t>
      </w:r>
      <w:r>
        <w:rPr>
          <w:rFonts w:hint="eastAsia" w:ascii="仿宋_GB2312" w:eastAsia="仿宋_GB2312"/>
          <w:b/>
          <w:bCs/>
          <w:sz w:val="32"/>
          <w:szCs w:val="32"/>
          <w:lang w:val="en-US" w:eastAsia="zh-CN"/>
        </w:rPr>
        <w:t>发展现代印刷设备制造业。</w:t>
      </w:r>
      <w:r>
        <w:rPr>
          <w:rFonts w:hint="eastAsia" w:ascii="仿宋_GB2312" w:eastAsia="仿宋_GB2312"/>
          <w:b w:val="0"/>
          <w:bCs w:val="0"/>
          <w:sz w:val="32"/>
          <w:szCs w:val="32"/>
          <w:lang w:val="en-US" w:eastAsia="zh-CN"/>
        </w:rPr>
        <w:t>以抚顺矿业集团造纸厂为依托，</w:t>
      </w:r>
      <w:r>
        <w:rPr>
          <w:rFonts w:hint="eastAsia" w:ascii="仿宋_GB2312" w:eastAsia="仿宋_GB2312"/>
          <w:sz w:val="32"/>
          <w:szCs w:val="32"/>
          <w:lang w:val="en-US" w:eastAsia="zh-CN"/>
        </w:rPr>
        <w:t>推动印刷包装产业“全产业链”开发，突出绿色、创意主题，重点发展自动化胶装设备、印刷设备及关键零部件制造，打造国内一流的印刷产业创意与设计基地、技术创新基地、先进制造基地。</w:t>
      </w:r>
    </w:p>
    <w:p>
      <w:pPr>
        <w:pageBreakBefore w:val="0"/>
        <w:kinsoku/>
        <w:wordWrap/>
        <w:overflowPunct w:val="0"/>
        <w:topLinePunct w:val="0"/>
        <w:bidi w:val="0"/>
        <w:ind w:right="0" w:rightChars="0" w:firstLine="640" w:firstLineChars="200"/>
        <w:rPr>
          <w:rFonts w:hint="eastAsia" w:ascii="仿宋_GB2312" w:eastAsia="仿宋_GB2312"/>
          <w:sz w:val="32"/>
          <w:szCs w:val="32"/>
          <w:lang w:val="en-US" w:eastAsia="zh-CN"/>
        </w:rPr>
      </w:pPr>
      <w:r>
        <w:rPr>
          <w:rFonts w:hint="eastAsia" w:ascii="仿宋_GB2312" w:eastAsia="仿宋_GB2312"/>
          <w:b/>
          <w:bCs/>
          <w:sz w:val="32"/>
          <w:szCs w:val="32"/>
          <w:lang w:val="en-US" w:eastAsia="zh-CN"/>
        </w:rPr>
        <w:t>积极培育战略性新兴产业。</w:t>
      </w:r>
      <w:r>
        <w:rPr>
          <w:rFonts w:hint="eastAsia" w:ascii="仿宋_GB2312" w:eastAsia="仿宋_GB2312"/>
          <w:sz w:val="32"/>
          <w:szCs w:val="32"/>
          <w:lang w:val="en-US" w:eastAsia="zh-CN"/>
        </w:rPr>
        <w:t>立足优势、高端布局、创新引领、重点突破。</w:t>
      </w:r>
      <w:r>
        <w:rPr>
          <w:rFonts w:hint="eastAsia" w:ascii="仿宋_GB2312" w:eastAsia="仿宋_GB2312"/>
          <w:b/>
          <w:bCs/>
          <w:sz w:val="32"/>
          <w:szCs w:val="32"/>
          <w:lang w:val="en-US" w:eastAsia="zh-CN"/>
        </w:rPr>
        <w:t>积极发展智能装备产业。</w:t>
      </w:r>
      <w:r>
        <w:rPr>
          <w:rFonts w:hint="eastAsia" w:ascii="仿宋_GB2312" w:eastAsia="仿宋_GB2312"/>
          <w:sz w:val="32"/>
          <w:szCs w:val="32"/>
        </w:rPr>
        <w:t>重点推进以海洲机械工业机器人和抚顺叉车特种机器人为代表的信息化产品研发</w:t>
      </w:r>
      <w:r>
        <w:rPr>
          <w:rFonts w:hint="eastAsia" w:ascii="仿宋_GB2312" w:eastAsia="仿宋_GB2312"/>
          <w:sz w:val="32"/>
          <w:szCs w:val="32"/>
          <w:lang w:eastAsia="zh-CN"/>
        </w:rPr>
        <w:t>，</w:t>
      </w:r>
      <w:r>
        <w:rPr>
          <w:rFonts w:hint="eastAsia" w:ascii="仿宋_GB2312" w:eastAsia="仿宋_GB2312"/>
          <w:sz w:val="32"/>
          <w:szCs w:val="32"/>
          <w:lang w:val="en-US" w:eastAsia="zh-CN"/>
        </w:rPr>
        <w:t>培育和壮大特种机器人、自动化成套设备、重要基础零部件、芯片智能测控装置等产业。</w:t>
      </w:r>
      <w:r>
        <w:rPr>
          <w:rFonts w:hint="eastAsia" w:ascii="仿宋_GB2312" w:eastAsia="仿宋_GB2312"/>
          <w:b/>
          <w:bCs/>
          <w:sz w:val="32"/>
          <w:szCs w:val="32"/>
          <w:lang w:val="en-US" w:eastAsia="zh-CN"/>
        </w:rPr>
        <w:t>大力培育新材料产业。</w:t>
      </w:r>
      <w:r>
        <w:rPr>
          <w:rFonts w:hint="eastAsia" w:ascii="仿宋_GB2312" w:eastAsia="仿宋_GB2312"/>
          <w:sz w:val="32"/>
          <w:szCs w:val="32"/>
          <w:lang w:val="en-US" w:eastAsia="zh-CN"/>
        </w:rPr>
        <w:t>以抚顺特钢等重点企业为引领，加快升级改造步伐，重点发展高品质特殊钢、新型合金材料、碳纤维及新型碳材料等高附加值、高技术含量的新材料。</w:t>
      </w:r>
      <w:r>
        <w:rPr>
          <w:rFonts w:hint="eastAsia" w:ascii="仿宋_GB2312" w:eastAsia="仿宋_GB2312"/>
          <w:b/>
          <w:bCs/>
          <w:sz w:val="32"/>
          <w:szCs w:val="32"/>
          <w:lang w:val="en-US" w:eastAsia="zh-CN"/>
        </w:rPr>
        <w:t>鼓励发展节能环保产业。</w:t>
      </w:r>
      <w:r>
        <w:rPr>
          <w:rFonts w:hint="eastAsia" w:ascii="仿宋_GB2312" w:eastAsia="仿宋_GB2312"/>
          <w:sz w:val="32"/>
          <w:szCs w:val="32"/>
          <w:lang w:val="en-US" w:eastAsia="zh-CN"/>
        </w:rPr>
        <w:t>以</w:t>
      </w:r>
      <w:r>
        <w:rPr>
          <w:rFonts w:hint="eastAsia" w:ascii="仿宋_GB2312" w:eastAsia="仿宋_GB2312"/>
          <w:sz w:val="32"/>
          <w:szCs w:val="32"/>
        </w:rPr>
        <w:t>晶花产业用布有限公司、天成环保科技有限公司</w:t>
      </w:r>
      <w:r>
        <w:rPr>
          <w:rFonts w:hint="eastAsia" w:ascii="仿宋_GB2312" w:eastAsia="仿宋_GB2312"/>
          <w:sz w:val="32"/>
          <w:szCs w:val="32"/>
          <w:lang w:val="en-US" w:eastAsia="zh-CN"/>
        </w:rPr>
        <w:t>为引领，</w:t>
      </w:r>
      <w:r>
        <w:rPr>
          <w:rFonts w:hint="eastAsia" w:ascii="仿宋_GB2312" w:eastAsia="仿宋_GB2312"/>
          <w:sz w:val="32"/>
          <w:szCs w:val="32"/>
        </w:rPr>
        <w:t>重点发展工业滤布、除尘布袋、除尘骨架及配件制造。推动重点行业节能减排信息技术的普及和应用，提高绿色研发设计能力，加大主要耗能、耗材设备和工艺流程的数字化、网络化和智能化改造。</w:t>
      </w:r>
      <w:r>
        <w:rPr>
          <w:rFonts w:hint="eastAsia" w:ascii="仿宋_GB2312" w:eastAsia="仿宋_GB2312"/>
          <w:b/>
          <w:bCs/>
          <w:sz w:val="32"/>
          <w:szCs w:val="32"/>
          <w:lang w:val="en-US" w:eastAsia="zh-CN"/>
        </w:rPr>
        <w:t>加快发展新能源产业。</w:t>
      </w:r>
      <w:r>
        <w:rPr>
          <w:rFonts w:hint="eastAsia" w:ascii="仿宋_GB2312" w:eastAsia="仿宋_GB2312"/>
          <w:sz w:val="32"/>
          <w:szCs w:val="32"/>
          <w:lang w:val="en-US" w:eastAsia="zh-CN"/>
        </w:rPr>
        <w:t>以沈阳森源艾思特福汽车等企业为引领，</w:t>
      </w:r>
      <w:r>
        <w:rPr>
          <w:rFonts w:hint="eastAsia" w:ascii="仿宋_GB2312" w:eastAsia="仿宋_GB2312"/>
          <w:sz w:val="32"/>
          <w:szCs w:val="32"/>
        </w:rPr>
        <w:t>重点发展太阳能、光伏发电、新能源汽车及相关配套产品</w:t>
      </w:r>
      <w:r>
        <w:rPr>
          <w:rFonts w:hint="eastAsia" w:ascii="仿宋_GB2312" w:eastAsia="仿宋_GB2312"/>
          <w:sz w:val="32"/>
          <w:szCs w:val="32"/>
          <w:lang w:val="en-US" w:eastAsia="zh-CN"/>
        </w:rPr>
        <w:t>。</w:t>
      </w:r>
    </w:p>
    <w:p>
      <w:pPr>
        <w:pageBreakBefore w:val="0"/>
        <w:kinsoku/>
        <w:wordWrap/>
        <w:overflowPunct w:val="0"/>
        <w:topLinePunct w:val="0"/>
        <w:bidi w:val="0"/>
        <w:ind w:right="0" w:rightChars="0" w:firstLine="640" w:firstLineChars="200"/>
        <w:rPr>
          <w:rFonts w:hint="eastAsia" w:ascii="仿宋_GB2312" w:eastAsia="仿宋_GB2312"/>
          <w:sz w:val="32"/>
          <w:szCs w:val="32"/>
          <w:lang w:val="en-US" w:eastAsia="zh-CN"/>
        </w:rPr>
      </w:pPr>
    </w:p>
    <w:p>
      <w:pPr>
        <w:pageBreakBefore w:val="0"/>
        <w:kinsoku/>
        <w:wordWrap/>
        <w:overflowPunct w:val="0"/>
        <w:topLinePunct w:val="0"/>
        <w:bidi w:val="0"/>
        <w:ind w:right="0" w:rightChars="0" w:firstLine="640" w:firstLineChars="200"/>
        <w:rPr>
          <w:rFonts w:hint="eastAsia" w:ascii="仿宋_GB2312" w:eastAsia="仿宋_GB2312"/>
          <w:sz w:val="32"/>
          <w:szCs w:val="32"/>
          <w:lang w:val="en-US" w:eastAsia="zh-CN"/>
        </w:rPr>
      </w:pPr>
    </w:p>
    <w:p>
      <w:pPr>
        <w:pageBreakBefore w:val="0"/>
        <w:kinsoku/>
        <w:wordWrap/>
        <w:overflowPunct w:val="0"/>
        <w:topLinePunct w:val="0"/>
        <w:bidi w:val="0"/>
        <w:ind w:right="0" w:rightChars="0" w:firstLine="640" w:firstLineChars="200"/>
        <w:rPr>
          <w:rFonts w:hint="eastAsia" w:ascii="仿宋_GB2312" w:eastAsia="仿宋_GB2312"/>
          <w:sz w:val="32"/>
          <w:szCs w:val="32"/>
          <w:lang w:val="en-US" w:eastAsia="zh-CN"/>
        </w:rPr>
      </w:pPr>
    </w:p>
    <w:p>
      <w:pPr>
        <w:pageBreakBefore w:val="0"/>
        <w:kinsoku/>
        <w:wordWrap/>
        <w:overflowPunct w:val="0"/>
        <w:topLinePunct w:val="0"/>
        <w:bidi w:val="0"/>
        <w:ind w:right="0" w:rightChars="0" w:firstLine="640" w:firstLineChars="200"/>
        <w:rPr>
          <w:rFonts w:hint="eastAsia" w:ascii="仿宋_GB2312" w:eastAsia="仿宋_GB2312"/>
          <w:sz w:val="32"/>
          <w:szCs w:val="32"/>
          <w:lang w:val="en-US" w:eastAsia="zh-CN"/>
        </w:rPr>
      </w:pPr>
    </w:p>
    <w:tbl>
      <w:tblPr>
        <w:tblStyle w:val="12"/>
        <w:tblW w:w="8800"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trPr>
        <w:tc>
          <w:tcPr>
            <w:tcW w:w="8800" w:type="dxa"/>
            <w:vAlign w:val="top"/>
          </w:tcPr>
          <w:p>
            <w:pPr>
              <w:pageBreakBefore w:val="0"/>
              <w:kinsoku/>
              <w:wordWrap/>
              <w:overflowPunct w:val="0"/>
              <w:topLinePunct w:val="0"/>
              <w:bidi w:val="0"/>
              <w:ind w:right="0" w:rightChars="0"/>
              <w:jc w:val="center"/>
              <w:rPr>
                <w:rFonts w:hint="eastAsia" w:ascii="仿宋_GB2312" w:eastAsia="仿宋_GB2312"/>
                <w:sz w:val="32"/>
                <w:szCs w:val="32"/>
                <w:vertAlign w:val="baseline"/>
                <w:lang w:val="en-US" w:eastAsia="zh-CN"/>
              </w:rPr>
            </w:pPr>
            <w:r>
              <w:rPr>
                <w:rFonts w:hint="eastAsia" w:ascii="宋体" w:hAnsi="宋体" w:eastAsia="宋体" w:cs="宋体"/>
                <w:b/>
                <w:bCs/>
                <w:sz w:val="28"/>
                <w:szCs w:val="28"/>
                <w:vertAlign w:val="baseline"/>
                <w:lang w:val="en-US" w:eastAsia="zh-CN"/>
              </w:rPr>
              <w:t>专栏</w:t>
            </w:r>
            <w:r>
              <w:rPr>
                <w:rFonts w:hint="eastAsia" w:ascii="宋体" w:hAnsi="宋体" w:cs="宋体"/>
                <w:b/>
                <w:bCs/>
                <w:sz w:val="28"/>
                <w:szCs w:val="28"/>
                <w:vertAlign w:val="baseline"/>
                <w:lang w:val="en-US" w:eastAsia="zh-CN"/>
              </w:rPr>
              <w:t>八</w:t>
            </w:r>
            <w:r>
              <w:rPr>
                <w:rFonts w:hint="eastAsia" w:ascii="宋体" w:hAnsi="宋体" w:eastAsia="宋体" w:cs="宋体"/>
                <w:b/>
                <w:bCs/>
                <w:sz w:val="28"/>
                <w:szCs w:val="28"/>
                <w:vertAlign w:val="baseline"/>
                <w:lang w:val="en-US" w:eastAsia="zh-CN"/>
              </w:rPr>
              <w:t>：工业重点项目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09" w:hRule="atLeast"/>
        </w:trPr>
        <w:tc>
          <w:tcPr>
            <w:tcW w:w="8800" w:type="dxa"/>
            <w:vAlign w:val="top"/>
          </w:tcPr>
          <w:p>
            <w:pPr>
              <w:pageBreakBefore w:val="0"/>
              <w:kinsoku/>
              <w:wordWrap/>
              <w:overflowPunct w:val="0"/>
              <w:topLinePunct w:val="0"/>
              <w:bidi w:val="0"/>
              <w:ind w:right="0" w:rightChars="0"/>
              <w:rPr>
                <w:rFonts w:hint="eastAsia" w:ascii="宋体" w:hAnsi="宋体" w:eastAsia="宋体" w:cs="宋体"/>
                <w:sz w:val="21"/>
                <w:szCs w:val="21"/>
                <w:vertAlign w:val="baseline"/>
                <w:lang w:val="en-US" w:eastAsia="zh-CN"/>
              </w:rPr>
            </w:pPr>
            <w:r>
              <w:rPr>
                <w:rFonts w:hint="eastAsia" w:ascii="宋体" w:hAnsi="宋体" w:eastAsia="宋体" w:cs="宋体"/>
                <w:sz w:val="28"/>
                <w:szCs w:val="28"/>
                <w:lang w:val="en-US" w:eastAsia="zh-CN"/>
              </w:rPr>
              <w:t>（1）欧力石化液压油</w:t>
            </w:r>
            <w:r>
              <w:rPr>
                <w:rFonts w:hint="eastAsia" w:ascii="宋体" w:hAnsi="宋体" w:cs="宋体"/>
                <w:sz w:val="28"/>
                <w:szCs w:val="28"/>
                <w:lang w:val="en-US" w:eastAsia="zh-CN"/>
              </w:rPr>
              <w:t>项目</w:t>
            </w:r>
            <w:r>
              <w:rPr>
                <w:rFonts w:hint="eastAsia" w:ascii="宋体" w:hAnsi="宋体" w:eastAsia="宋体" w:cs="宋体"/>
                <w:sz w:val="28"/>
                <w:szCs w:val="28"/>
                <w:lang w:val="en-US" w:eastAsia="zh-CN"/>
              </w:rPr>
              <w:t>（2）抚顺特钢环境治理工程</w:t>
            </w:r>
            <w:r>
              <w:rPr>
                <w:rFonts w:hint="eastAsia" w:ascii="宋体" w:hAnsi="宋体" w:cs="宋体"/>
                <w:sz w:val="28"/>
                <w:szCs w:val="28"/>
                <w:lang w:val="en-US" w:eastAsia="zh-CN"/>
              </w:rPr>
              <w:t>项目</w:t>
            </w:r>
            <w:r>
              <w:rPr>
                <w:rFonts w:hint="eastAsia" w:ascii="宋体" w:hAnsi="宋体" w:eastAsia="宋体" w:cs="宋体"/>
                <w:sz w:val="28"/>
                <w:szCs w:val="28"/>
                <w:lang w:val="en-US" w:eastAsia="zh-CN"/>
              </w:rPr>
              <w:t>（3）抚顺特钢80MN快锻机技术改造</w:t>
            </w:r>
            <w:r>
              <w:rPr>
                <w:rFonts w:hint="eastAsia" w:ascii="宋体" w:hAnsi="宋体" w:cs="宋体"/>
                <w:sz w:val="28"/>
                <w:szCs w:val="28"/>
                <w:lang w:val="en-US" w:eastAsia="zh-CN"/>
              </w:rPr>
              <w:t>项目</w:t>
            </w:r>
            <w:r>
              <w:rPr>
                <w:rFonts w:hint="eastAsia" w:ascii="宋体" w:hAnsi="宋体" w:eastAsia="宋体" w:cs="宋体"/>
                <w:sz w:val="28"/>
                <w:szCs w:val="28"/>
                <w:lang w:val="en-US" w:eastAsia="zh-CN"/>
              </w:rPr>
              <w:t>（4）抚顺特钢军品特种冶炼技术改造</w:t>
            </w:r>
            <w:r>
              <w:rPr>
                <w:rFonts w:hint="eastAsia" w:ascii="宋体" w:hAnsi="宋体" w:cs="宋体"/>
                <w:sz w:val="28"/>
                <w:szCs w:val="28"/>
                <w:lang w:val="en-US" w:eastAsia="zh-CN"/>
              </w:rPr>
              <w:t>项目</w:t>
            </w:r>
            <w:r>
              <w:rPr>
                <w:rFonts w:hint="eastAsia" w:ascii="宋体" w:hAnsi="宋体" w:eastAsia="宋体" w:cs="宋体"/>
                <w:sz w:val="28"/>
                <w:szCs w:val="28"/>
                <w:lang w:val="en-US" w:eastAsia="zh-CN"/>
              </w:rPr>
              <w:t>（5）抚顺特钢板材生产线技术改造</w:t>
            </w:r>
            <w:r>
              <w:rPr>
                <w:rFonts w:hint="eastAsia" w:ascii="宋体" w:hAnsi="宋体" w:cs="宋体"/>
                <w:sz w:val="28"/>
                <w:szCs w:val="28"/>
                <w:lang w:val="en-US" w:eastAsia="zh-CN"/>
              </w:rPr>
              <w:t>项目</w:t>
            </w:r>
            <w:r>
              <w:rPr>
                <w:rFonts w:hint="eastAsia" w:ascii="宋体" w:hAnsi="宋体" w:eastAsia="宋体" w:cs="宋体"/>
                <w:sz w:val="28"/>
                <w:szCs w:val="28"/>
                <w:lang w:val="en-US" w:eastAsia="zh-CN"/>
              </w:rPr>
              <w:t>（6）抚顺特钢高档汽车用特殊钢生产线完善</w:t>
            </w:r>
            <w:r>
              <w:rPr>
                <w:rFonts w:hint="eastAsia" w:ascii="宋体" w:hAnsi="宋体" w:cs="宋体"/>
                <w:sz w:val="28"/>
                <w:szCs w:val="28"/>
                <w:lang w:val="en-US" w:eastAsia="zh-CN"/>
              </w:rPr>
              <w:t>项目</w:t>
            </w:r>
            <w:r>
              <w:rPr>
                <w:rFonts w:hint="eastAsia" w:ascii="宋体" w:hAnsi="宋体" w:eastAsia="宋体" w:cs="宋体"/>
                <w:sz w:val="28"/>
                <w:szCs w:val="28"/>
                <w:lang w:val="en-US" w:eastAsia="zh-CN"/>
              </w:rPr>
              <w:t>（7）抚顺特钢关键原材料自主化能力建设</w:t>
            </w:r>
            <w:r>
              <w:rPr>
                <w:rFonts w:hint="eastAsia" w:ascii="宋体" w:hAnsi="宋体" w:cs="宋体"/>
                <w:sz w:val="28"/>
                <w:szCs w:val="28"/>
                <w:lang w:val="en-US" w:eastAsia="zh-CN"/>
              </w:rPr>
              <w:t>项目</w:t>
            </w:r>
            <w:r>
              <w:rPr>
                <w:rFonts w:hint="eastAsia" w:ascii="宋体" w:hAnsi="宋体" w:eastAsia="宋体" w:cs="宋体"/>
                <w:sz w:val="28"/>
                <w:szCs w:val="28"/>
                <w:lang w:val="en-US" w:eastAsia="zh-CN"/>
              </w:rPr>
              <w:t>（8）抚顺铝业碳素新材料</w:t>
            </w:r>
            <w:r>
              <w:rPr>
                <w:rFonts w:hint="eastAsia" w:ascii="宋体" w:hAnsi="宋体" w:cs="宋体"/>
                <w:sz w:val="28"/>
                <w:szCs w:val="28"/>
                <w:lang w:val="en-US" w:eastAsia="zh-CN"/>
              </w:rPr>
              <w:t>项目</w:t>
            </w:r>
            <w:r>
              <w:rPr>
                <w:rFonts w:hint="eastAsia" w:ascii="宋体" w:hAnsi="宋体" w:eastAsia="宋体" w:cs="宋体"/>
                <w:sz w:val="28"/>
                <w:szCs w:val="28"/>
                <w:lang w:val="en-US" w:eastAsia="zh-CN"/>
              </w:rPr>
              <w:t>（9）新钢铁高炉水渣超细粉等产品深加工</w:t>
            </w:r>
            <w:r>
              <w:rPr>
                <w:rFonts w:hint="eastAsia" w:ascii="宋体" w:hAnsi="宋体" w:cs="宋体"/>
                <w:sz w:val="28"/>
                <w:szCs w:val="28"/>
                <w:lang w:val="en-US" w:eastAsia="zh-CN"/>
              </w:rPr>
              <w:t>项目</w:t>
            </w:r>
            <w:r>
              <w:rPr>
                <w:rFonts w:hint="eastAsia" w:ascii="宋体" w:hAnsi="宋体" w:eastAsia="宋体" w:cs="宋体"/>
                <w:sz w:val="28"/>
                <w:szCs w:val="28"/>
                <w:lang w:val="en-US" w:eastAsia="zh-CN"/>
              </w:rPr>
              <w:t>（10）北京中油天宝石油钢管</w:t>
            </w:r>
            <w:r>
              <w:rPr>
                <w:rFonts w:hint="eastAsia" w:ascii="宋体" w:hAnsi="宋体" w:cs="宋体"/>
                <w:sz w:val="28"/>
                <w:szCs w:val="28"/>
                <w:lang w:val="en-US" w:eastAsia="zh-CN"/>
              </w:rPr>
              <w:t>项目</w:t>
            </w:r>
            <w:r>
              <w:rPr>
                <w:rFonts w:hint="eastAsia" w:ascii="宋体" w:hAnsi="宋体" w:eastAsia="宋体" w:cs="宋体"/>
                <w:sz w:val="28"/>
                <w:szCs w:val="28"/>
                <w:lang w:val="en-US" w:eastAsia="zh-CN"/>
              </w:rPr>
              <w:t>（11）沈阳森源艾思特福年产2000辆汽车</w:t>
            </w:r>
            <w:r>
              <w:rPr>
                <w:rFonts w:hint="eastAsia" w:ascii="宋体" w:hAnsi="宋体" w:cs="宋体"/>
                <w:sz w:val="28"/>
                <w:szCs w:val="28"/>
                <w:lang w:val="en-US" w:eastAsia="zh-CN"/>
              </w:rPr>
              <w:t>项目</w:t>
            </w:r>
            <w:r>
              <w:rPr>
                <w:rFonts w:hint="eastAsia" w:ascii="宋体" w:hAnsi="宋体" w:eastAsia="宋体" w:cs="宋体"/>
                <w:sz w:val="28"/>
                <w:szCs w:val="28"/>
                <w:lang w:val="en-US" w:eastAsia="zh-CN"/>
              </w:rPr>
              <w:t>（11）辽宁永昌工具钢新材料全磨制机用刀具</w:t>
            </w:r>
            <w:r>
              <w:rPr>
                <w:rFonts w:hint="eastAsia" w:ascii="宋体" w:hAnsi="宋体" w:cs="宋体"/>
                <w:sz w:val="28"/>
                <w:szCs w:val="28"/>
                <w:lang w:val="en-US" w:eastAsia="zh-CN"/>
              </w:rPr>
              <w:t>项目</w:t>
            </w:r>
            <w:r>
              <w:rPr>
                <w:rFonts w:hint="eastAsia" w:ascii="宋体" w:hAnsi="宋体" w:eastAsia="宋体" w:cs="宋体"/>
                <w:sz w:val="28"/>
                <w:szCs w:val="28"/>
                <w:lang w:val="en-US" w:eastAsia="zh-CN"/>
              </w:rPr>
              <w:t>（12）中科顺辉化工左旋肉碱</w:t>
            </w:r>
            <w:r>
              <w:rPr>
                <w:rFonts w:hint="eastAsia" w:ascii="宋体" w:hAnsi="宋体" w:cs="宋体"/>
                <w:sz w:val="28"/>
                <w:szCs w:val="28"/>
                <w:lang w:val="en-US" w:eastAsia="zh-CN"/>
              </w:rPr>
              <w:t>项目</w:t>
            </w:r>
            <w:r>
              <w:rPr>
                <w:rFonts w:hint="eastAsia" w:ascii="宋体" w:hAnsi="宋体" w:eastAsia="宋体" w:cs="宋体"/>
                <w:sz w:val="28"/>
                <w:szCs w:val="28"/>
                <w:lang w:val="en-US" w:eastAsia="zh-CN"/>
              </w:rPr>
              <w:t>（13）</w:t>
            </w:r>
            <w:r>
              <w:rPr>
                <w:rFonts w:hint="eastAsia" w:ascii="宋体" w:hAnsi="宋体" w:eastAsia="宋体" w:cs="宋体"/>
                <w:sz w:val="28"/>
                <w:szCs w:val="28"/>
              </w:rPr>
              <w:t>海洲机械工业机器人</w:t>
            </w:r>
            <w:r>
              <w:rPr>
                <w:rFonts w:hint="eastAsia" w:ascii="宋体" w:hAnsi="宋体" w:cs="宋体"/>
                <w:sz w:val="28"/>
                <w:szCs w:val="28"/>
                <w:lang w:val="en-US" w:eastAsia="zh-CN"/>
              </w:rPr>
              <w:t>项目</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14</w:t>
            </w:r>
            <w:r>
              <w:rPr>
                <w:rFonts w:hint="eastAsia" w:ascii="宋体" w:hAnsi="宋体" w:eastAsia="宋体" w:cs="宋体"/>
                <w:sz w:val="28"/>
                <w:szCs w:val="28"/>
                <w:lang w:eastAsia="zh-CN"/>
              </w:rPr>
              <w:t>）</w:t>
            </w:r>
            <w:r>
              <w:rPr>
                <w:rFonts w:hint="eastAsia" w:ascii="宋体" w:hAnsi="宋体" w:eastAsia="宋体" w:cs="宋体"/>
                <w:sz w:val="28"/>
                <w:szCs w:val="28"/>
              </w:rPr>
              <w:t>抚顺叉车特种机器人</w:t>
            </w:r>
            <w:r>
              <w:rPr>
                <w:rFonts w:hint="eastAsia" w:ascii="宋体" w:hAnsi="宋体" w:cs="宋体"/>
                <w:sz w:val="28"/>
                <w:szCs w:val="28"/>
                <w:lang w:val="en-US" w:eastAsia="zh-CN"/>
              </w:rPr>
              <w:t>项目（15）华誉新型墙体材料项目</w:t>
            </w:r>
          </w:p>
        </w:tc>
      </w:tr>
    </w:tbl>
    <w:p>
      <w:pPr>
        <w:pageBreakBefore w:val="0"/>
        <w:kinsoku/>
        <w:wordWrap/>
        <w:overflowPunct w:val="0"/>
        <w:topLinePunct w:val="0"/>
        <w:bidi w:val="0"/>
        <w:ind w:right="0" w:rightChars="0"/>
        <w:rPr>
          <w:rFonts w:hint="eastAsia" w:ascii="仿宋_GB2312" w:eastAsia="仿宋_GB2312"/>
          <w:sz w:val="24"/>
          <w:szCs w:val="24"/>
        </w:rPr>
      </w:pPr>
    </w:p>
    <w:p>
      <w:pPr>
        <w:pStyle w:val="3"/>
        <w:keepNext/>
        <w:keepLines/>
        <w:pageBreakBefore w:val="0"/>
        <w:widowControl w:val="0"/>
        <w:kinsoku/>
        <w:wordWrap/>
        <w:overflowPunct/>
        <w:topLinePunct w:val="0"/>
        <w:autoSpaceDE/>
        <w:autoSpaceDN/>
        <w:bidi w:val="0"/>
        <w:adjustRightInd/>
        <w:snapToGrid/>
        <w:spacing w:before="260" w:beforeLines="0" w:after="260" w:afterLines="0" w:line="240" w:lineRule="exact"/>
        <w:ind w:left="0" w:leftChars="0" w:right="0" w:rightChars="0" w:firstLine="0" w:firstLineChars="0"/>
        <w:jc w:val="center"/>
        <w:textAlignment w:val="auto"/>
        <w:outlineLvl w:val="1"/>
        <w:rPr>
          <w:rFonts w:hint="eastAsia"/>
        </w:rPr>
      </w:pPr>
      <w:bookmarkStart w:id="28" w:name="_Toc21879"/>
      <w:r>
        <w:rPr>
          <w:rFonts w:hint="eastAsia"/>
        </w:rPr>
        <w:t>第三节  提升现代农业发展水平</w:t>
      </w:r>
      <w:bookmarkEnd w:id="28"/>
    </w:p>
    <w:p>
      <w:pPr>
        <w:pageBreakBefore w:val="0"/>
        <w:kinsoku/>
        <w:wordWrap/>
        <w:overflowPunct w:val="0"/>
        <w:topLinePunct w:val="0"/>
        <w:bidi w:val="0"/>
        <w:ind w:right="0" w:rightChars="0"/>
        <w:rPr>
          <w:rFonts w:hint="eastAsia" w:ascii="仿宋_GB2312" w:eastAsia="仿宋_GB2312"/>
          <w:sz w:val="24"/>
          <w:szCs w:val="24"/>
        </w:rPr>
      </w:pP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以现代农业为基础，以信息化为主导，以城镇化为支撑，开创现代农业全面发展的新格局。以转变农业发展方式为主线，进一步提高农业综合生产能力、抗风险能力和市场竞争能力。到2020年，实现农业生产专业化、标准化、规模化、集约化，延伸农业产业链。农业增加值年增长6.5%，达到2.3亿元；农民人均收入年增长7%，达到18000元。加快美丽乡村示范村建设，全区“美丽乡村”达到80%。</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rPr>
        <w:t>做强做大特色产业。</w:t>
      </w:r>
      <w:r>
        <w:rPr>
          <w:rFonts w:hint="eastAsia" w:ascii="仿宋_GB2312" w:eastAsia="仿宋_GB2312"/>
          <w:sz w:val="32"/>
          <w:szCs w:val="32"/>
        </w:rPr>
        <w:t>优化农业产业布局，推进沈环南线塔峪镇沿线农业产业带建设，大力推广温室</w:t>
      </w:r>
      <w:r>
        <w:rPr>
          <w:rFonts w:hint="eastAsia" w:ascii="仿宋_GB2312" w:eastAsia="仿宋_GB2312"/>
          <w:sz w:val="32"/>
          <w:szCs w:val="32"/>
          <w:lang w:eastAsia="zh-CN"/>
        </w:rPr>
        <w:t>、</w:t>
      </w:r>
      <w:r>
        <w:rPr>
          <w:rFonts w:hint="eastAsia" w:ascii="仿宋_GB2312" w:eastAsia="仿宋_GB2312"/>
          <w:sz w:val="32"/>
          <w:szCs w:val="32"/>
        </w:rPr>
        <w:t>大棚和冷棚栽培技术。重点发展无公害蔬菜、果品、畜禽、香菇等特色产品，</w:t>
      </w:r>
      <w:r>
        <w:rPr>
          <w:rFonts w:hint="eastAsia" w:ascii="仿宋_GB2312" w:eastAsia="仿宋_GB2312"/>
          <w:sz w:val="32"/>
          <w:szCs w:val="32"/>
          <w:lang w:val="en-US" w:eastAsia="zh-CN"/>
        </w:rPr>
        <w:t>大力发展经济作物、果蔬等有机绿色新品系列</w:t>
      </w:r>
      <w:r>
        <w:rPr>
          <w:rFonts w:hint="eastAsia" w:ascii="仿宋_GB2312" w:eastAsia="仿宋_GB2312"/>
          <w:sz w:val="32"/>
          <w:szCs w:val="32"/>
        </w:rPr>
        <w:t>，促进农业专业化生产、产业化经营。以设施农业产业带建设为主线，突出特色农业、绿色农业、效益农业，加快农业结构调整，推动农业跨越发展。建设以优质农产品专业生产、畜禽标准化养殖为特色的生态农业园区，加快农业产业化进程。构建“一村一品”农业主导产业新格局，重点发展禽类、食用菌等主导产业。充分发挥市场机制作用，抓好“菜篮子”工程建设，保障市场供应，</w:t>
      </w:r>
      <w:r>
        <w:rPr>
          <w:rFonts w:hint="eastAsia" w:ascii="仿宋_GB2312" w:eastAsia="仿宋_GB2312"/>
          <w:sz w:val="32"/>
          <w:szCs w:val="32"/>
          <w:lang w:val="en-US" w:eastAsia="zh-CN"/>
        </w:rPr>
        <w:t>规划建设一批集休闲娱乐等功能为一体的特色农业园区</w:t>
      </w:r>
      <w:r>
        <w:rPr>
          <w:rFonts w:hint="eastAsia" w:ascii="仿宋_GB2312" w:eastAsia="仿宋_GB2312"/>
          <w:sz w:val="32"/>
          <w:szCs w:val="32"/>
        </w:rPr>
        <w:t>，发展新型生态旅游农业。</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lang w:val="en-US" w:eastAsia="zh-CN"/>
        </w:rPr>
        <w:t xml:space="preserve"> </w:t>
      </w:r>
      <w:r>
        <w:rPr>
          <w:rFonts w:hint="eastAsia" w:ascii="仿宋_GB2312" w:eastAsia="仿宋_GB2312"/>
          <w:b/>
          <w:bCs/>
          <w:sz w:val="32"/>
          <w:szCs w:val="32"/>
        </w:rPr>
        <w:t>培养农业新型经营主体。</w:t>
      </w:r>
      <w:r>
        <w:rPr>
          <w:rFonts w:hint="eastAsia" w:ascii="仿宋_GB2312" w:eastAsia="仿宋_GB2312"/>
          <w:sz w:val="32"/>
          <w:szCs w:val="32"/>
        </w:rPr>
        <w:t>在充分保障农民土地承包经营权的前提下，积极探索创新农业生产经营体制机制，着力培养新型经营主体，发展多种形式的新型农民合作组织和多元服务主体。充分保护调动农民的生产经营积极性，吸引高素质的农民从事农业活动。稳定和完善农村土地承包关系，推进农村土地承包经营权确权工作，加强土地流转规范管理和服务，逐步建立健全农村土地流转机制。</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lang w:val="en-US" w:eastAsia="zh-CN"/>
        </w:rPr>
        <w:t xml:space="preserve"> </w:t>
      </w:r>
      <w:r>
        <w:rPr>
          <w:rFonts w:hint="eastAsia" w:ascii="仿宋_GB2312" w:eastAsia="仿宋_GB2312"/>
          <w:b/>
          <w:bCs/>
          <w:sz w:val="32"/>
          <w:szCs w:val="32"/>
        </w:rPr>
        <w:t>推进农业科技创新。</w:t>
      </w:r>
      <w:r>
        <w:rPr>
          <w:rFonts w:hint="eastAsia" w:ascii="仿宋_GB2312" w:eastAsia="仿宋_GB2312"/>
          <w:sz w:val="32"/>
          <w:szCs w:val="32"/>
        </w:rPr>
        <w:t>加大农业科技投入，改善农业生产条件，强化现代农业产业技术体系建设，扩大农兽药残留、饲料及饲料添加剂等监控范围，确保农产品产量增长、质量安全。加快健全农业社会化服务体系，支持农民专业合作社和农业产业化龙头企业发展，提高农业经营组织化程度。</w:t>
      </w:r>
      <w:r>
        <w:rPr>
          <w:rFonts w:hint="eastAsia" w:ascii="仿宋_GB2312" w:eastAsia="仿宋_GB2312"/>
          <w:sz w:val="32"/>
          <w:szCs w:val="32"/>
          <w:lang w:val="en-US" w:eastAsia="zh-CN"/>
        </w:rPr>
        <w:t>加强与农业科技部门对接与合作，强化高附加值作物的引进、培育与推广工作，实现农业增效，农民增收</w:t>
      </w:r>
      <w:r>
        <w:rPr>
          <w:rFonts w:hint="eastAsia" w:ascii="仿宋_GB2312" w:eastAsia="仿宋_GB2312"/>
          <w:sz w:val="32"/>
          <w:szCs w:val="32"/>
        </w:rPr>
        <w:t>。</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rPr>
        <w:t>修复生态环境。</w:t>
      </w:r>
      <w:r>
        <w:rPr>
          <w:rFonts w:hint="eastAsia" w:ascii="仿宋_GB2312" w:eastAsia="仿宋_GB2312"/>
          <w:sz w:val="32"/>
          <w:szCs w:val="32"/>
        </w:rPr>
        <w:t>继续实施青山工程。实施青山保护分区管理，开展青山动态监测。按照“国家森林城市”标准，大力开展增绿行动，大幅度增加城区森林面积，重点实施退耕还林工程、花园式小区、学校、企业等建设工程和村屯绿化工程，不断提高城市绿化覆盖率。加强地质灾害防治。加大千台山、西舍场等重点区域地质灾害综合防治力度，完善应急处置体系建设，提高处置突发事件能力。推动国土综合整理。推动城镇低效用地再开发，有序推进田水路林村综合整治。加强重点行业和区域重金属污染防治，推进工矿废弃地复垦，加大山林矿坑治理力度，推动重点整治与生态修复相结合，严守生态保护红线，落实生态红线管制要求，保护生物多样性，促进区域生态功能恢复。</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lang w:val="en-US" w:eastAsia="zh-CN"/>
        </w:rPr>
        <w:t xml:space="preserve"> </w:t>
      </w:r>
      <w:r>
        <w:rPr>
          <w:rFonts w:hint="eastAsia" w:ascii="仿宋_GB2312" w:eastAsia="仿宋_GB2312"/>
          <w:b/>
          <w:bCs/>
          <w:sz w:val="32"/>
          <w:szCs w:val="32"/>
        </w:rPr>
        <w:t>大力推进城镇化建设。</w:t>
      </w:r>
      <w:r>
        <w:rPr>
          <w:rFonts w:hint="eastAsia" w:ascii="仿宋_GB2312" w:eastAsia="仿宋_GB2312"/>
          <w:sz w:val="32"/>
          <w:szCs w:val="32"/>
        </w:rPr>
        <w:t>推进农业转移人口市民化，完善农业转移人口转为城镇居民的相关政策；建立健全城乡规划、产业发展、基础设施、社会管理一体化的城乡统筹长效机制。强化产业支撑，实现以工促农、以城带乡新突破。集约高效利用土地。用好土地政策，规范城镇化涉地工作，合理控制建设用地规模，使城市建设能够健康持续发展；依法规范农业征地、建设用地增减挂钩、土地综合整理等涉地工作，促进土地集约节约使用。加快城镇基础设施建设，充分利用城乡建设用地增减挂钩政策，加强城镇的吸纳、集聚功能，积极推进农民及产业向城镇集中，打造具有望花特色的新型城镇。</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lang w:val="en-US" w:eastAsia="zh-CN"/>
        </w:rPr>
        <w:t xml:space="preserve"> </w:t>
      </w:r>
      <w:r>
        <w:rPr>
          <w:rFonts w:hint="eastAsia" w:ascii="仿宋_GB2312" w:eastAsia="仿宋_GB2312"/>
          <w:b/>
          <w:bCs/>
          <w:sz w:val="32"/>
          <w:szCs w:val="32"/>
        </w:rPr>
        <w:t>加快建设宜居乡村。</w:t>
      </w:r>
      <w:r>
        <w:rPr>
          <w:rFonts w:hint="eastAsia" w:ascii="仿宋_GB2312" w:eastAsia="仿宋_GB2312"/>
          <w:sz w:val="32"/>
          <w:szCs w:val="32"/>
        </w:rPr>
        <w:t>加强农村环境综合治理，加快农村路网建设，实施农村饮水安全保障工程，逐步推进农村饮水与城镇自来水联网。加强河道治理和输水沟渠、管道、蓄水池和拦水闸等水利设施建设，提高防洪抗旱能力，保障农村安全和农民身心健康。到“十三五”末期，实现环境整洁、设施完善、生态优良的宜居乡村。</w:t>
      </w: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Style w:val="2"/>
        <w:pageBreakBefore w:val="0"/>
        <w:widowControl w:val="0"/>
        <w:kinsoku/>
        <w:wordWrap/>
        <w:topLinePunct w:val="0"/>
        <w:autoSpaceDE/>
        <w:autoSpaceDN/>
        <w:bidi w:val="0"/>
        <w:adjustRightInd/>
        <w:snapToGrid/>
        <w:spacing w:line="240" w:lineRule="exact"/>
        <w:ind w:left="0" w:leftChars="0" w:right="0" w:rightChars="0" w:firstLine="0" w:firstLineChars="0"/>
        <w:textAlignment w:val="auto"/>
        <w:rPr>
          <w:rFonts w:hint="eastAsia"/>
        </w:rPr>
      </w:pPr>
      <w:bookmarkStart w:id="29" w:name="_Toc32738"/>
      <w:r>
        <w:rPr>
          <w:rFonts w:hint="eastAsia"/>
        </w:rPr>
        <w:t>第六章  保障和改善民生　创造人民美好生活</w:t>
      </w:r>
      <w:bookmarkEnd w:id="29"/>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kinsoku/>
        <w:wordWrap/>
        <w:overflowPunct w:val="0"/>
        <w:topLinePunct w:val="0"/>
        <w:bidi w:val="0"/>
        <w:ind w:right="0" w:rightChars="0" w:firstLine="640" w:firstLineChars="200"/>
        <w:rPr>
          <w:rFonts w:hint="eastAsia" w:ascii="仿宋_GB2312" w:eastAsia="仿宋_GB2312"/>
          <w:sz w:val="32"/>
          <w:szCs w:val="32"/>
        </w:rPr>
      </w:pPr>
      <w:r>
        <w:rPr>
          <w:rFonts w:hint="eastAsia" w:ascii="仿宋_GB2312" w:eastAsia="仿宋_GB2312"/>
          <w:sz w:val="32"/>
          <w:szCs w:val="32"/>
        </w:rPr>
        <w:t>以促进社会公平正义、增进人民福祉为出发点和落脚点，协调发展社会事业，推进基本公共服务均等化，让发展改革振兴的成果更多更公平地惠及人民群众。</w:t>
      </w:r>
    </w:p>
    <w:p>
      <w:pPr>
        <w:pageBreakBefore w:val="0"/>
        <w:widowControl w:val="0"/>
        <w:kinsoku/>
        <w:wordWrap/>
        <w:overflowPunct w:val="0"/>
        <w:topLinePunct w:val="0"/>
        <w:autoSpaceDE/>
        <w:autoSpaceDN/>
        <w:bidi w:val="0"/>
        <w:adjustRightInd/>
        <w:snapToGrid/>
        <w:spacing w:line="240" w:lineRule="exact"/>
        <w:ind w:left="0" w:leftChars="0" w:right="0" w:rightChars="0" w:firstLine="640" w:firstLineChars="200"/>
        <w:textAlignment w:val="auto"/>
        <w:rPr>
          <w:rFonts w:hint="eastAsia" w:ascii="仿宋_GB2312" w:eastAsia="仿宋_GB2312"/>
          <w:sz w:val="24"/>
          <w:szCs w:val="24"/>
        </w:rPr>
      </w:pPr>
    </w:p>
    <w:p>
      <w:pPr>
        <w:pStyle w:val="3"/>
        <w:pageBreakBefore w:val="0"/>
        <w:widowControl w:val="0"/>
        <w:kinsoku/>
        <w:wordWrap/>
        <w:topLinePunct w:val="0"/>
        <w:autoSpaceDE/>
        <w:autoSpaceDN/>
        <w:bidi w:val="0"/>
        <w:adjustRightInd/>
        <w:snapToGrid/>
        <w:spacing w:line="240" w:lineRule="exact"/>
        <w:ind w:left="0" w:leftChars="0" w:right="0" w:rightChars="0"/>
        <w:textAlignment w:val="auto"/>
        <w:rPr>
          <w:rFonts w:hint="eastAsia"/>
        </w:rPr>
      </w:pPr>
      <w:bookmarkStart w:id="30" w:name="_Toc15216"/>
      <w:r>
        <w:rPr>
          <w:rFonts w:hint="eastAsia"/>
        </w:rPr>
        <w:t>第一节　加大精准扶贫开发力度</w:t>
      </w:r>
      <w:bookmarkEnd w:id="30"/>
    </w:p>
    <w:p>
      <w:pPr>
        <w:pageBreakBefore w:val="0"/>
        <w:kinsoku/>
        <w:wordWrap/>
        <w:overflowPunct w:val="0"/>
        <w:topLinePunct w:val="0"/>
        <w:bidi w:val="0"/>
        <w:ind w:right="0" w:rightChars="0"/>
        <w:rPr>
          <w:rFonts w:hint="eastAsia" w:ascii="仿宋_GB2312" w:eastAsia="仿宋_GB2312"/>
          <w:sz w:val="24"/>
          <w:szCs w:val="24"/>
        </w:rPr>
      </w:pP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大力实施精准扶贫，紧紧抓住增加贫困群众收入这个核心，实施“济困助弱”工程，把“造血式”扶贫与“输血式”扶贫相结合，对不同原因、不同类型的贫困,对症下药、精准滴灌，确保</w:t>
      </w:r>
      <w:r>
        <w:rPr>
          <w:rFonts w:hint="eastAsia" w:ascii="仿宋_GB2312" w:eastAsia="仿宋_GB2312"/>
          <w:sz w:val="32"/>
          <w:szCs w:val="32"/>
          <w:lang w:eastAsia="zh-CN"/>
        </w:rPr>
        <w:t>全区</w:t>
      </w:r>
      <w:r>
        <w:rPr>
          <w:rFonts w:hint="eastAsia" w:ascii="仿宋_GB2312" w:eastAsia="仿宋_GB2312"/>
          <w:sz w:val="32"/>
          <w:szCs w:val="32"/>
        </w:rPr>
        <w:t>贫困人口</w:t>
      </w:r>
      <w:r>
        <w:rPr>
          <w:rFonts w:hint="eastAsia" w:ascii="仿宋_GB2312" w:eastAsia="仿宋_GB2312"/>
          <w:sz w:val="32"/>
          <w:szCs w:val="32"/>
          <w:lang w:eastAsia="zh-CN"/>
        </w:rPr>
        <w:t>实现脱贫</w:t>
      </w:r>
      <w:r>
        <w:rPr>
          <w:rFonts w:hint="eastAsia" w:ascii="仿宋_GB2312" w:eastAsia="仿宋_GB2312"/>
          <w:sz w:val="32"/>
          <w:szCs w:val="32"/>
        </w:rPr>
        <w:t>。按照前三年集中攻坚、后二年巩固提高的阶段安排，</w:t>
      </w:r>
      <w:r>
        <w:rPr>
          <w:rFonts w:hint="eastAsia" w:ascii="仿宋_GB2312" w:eastAsia="仿宋_GB2312"/>
          <w:sz w:val="32"/>
          <w:szCs w:val="32"/>
          <w:lang w:val="en-US" w:eastAsia="zh-CN"/>
        </w:rPr>
        <w:t>2016年实现550人脱贫，2017年实现550人脱贫，2018年实现273人脱贫，2019-2020年实现临时性返贫人口稳定脱贫，巩固减贫成果</w:t>
      </w:r>
      <w:r>
        <w:rPr>
          <w:rFonts w:hint="eastAsia" w:ascii="仿宋_GB2312" w:eastAsia="仿宋_GB2312"/>
          <w:sz w:val="32"/>
          <w:szCs w:val="32"/>
        </w:rPr>
        <w:t>。</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rPr>
        <w:t>构建新型扶贫模式。</w:t>
      </w:r>
      <w:r>
        <w:rPr>
          <w:rFonts w:hint="eastAsia" w:ascii="仿宋_GB2312" w:eastAsia="仿宋_GB2312"/>
          <w:sz w:val="32"/>
          <w:szCs w:val="32"/>
        </w:rPr>
        <w:t>建立精准扶贫动态管理，全方位、全过程监测扶贫对象、监管扶贫项目，建立健全扶贫信息网络和扶贫对象有进有出的动态管理机制。抓好扶贫项目管理。针对不同致贫原因，在征求贫困户发展意愿的基础上，制定扶贫项目规划和分年项目实施计划，明确项目责任人，精准实施扶贫项目。</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lang w:val="en-US" w:eastAsia="zh-CN"/>
        </w:rPr>
        <w:t xml:space="preserve"> </w:t>
      </w:r>
      <w:r>
        <w:rPr>
          <w:rFonts w:hint="eastAsia" w:ascii="仿宋_GB2312" w:eastAsia="仿宋_GB2312"/>
          <w:b/>
          <w:bCs/>
          <w:sz w:val="32"/>
          <w:szCs w:val="32"/>
        </w:rPr>
        <w:t>实施望花特色精准扶贫工程。</w:t>
      </w:r>
      <w:r>
        <w:rPr>
          <w:rFonts w:hint="eastAsia" w:ascii="仿宋_GB2312" w:eastAsia="仿宋_GB2312"/>
          <w:sz w:val="32"/>
          <w:szCs w:val="32"/>
        </w:rPr>
        <w:t>实施社会扶贫工程，有效整合资源，把项目、资金、技术、信息、人才等资源输送到户；实施增收扶贫工程，整合各类涉农项目资金，扶持有发展能力的贫困户发展特色产业，增加收入；实施移民扶贫工程，搬迁扶贫到户到人；实施教育扶贫工程，对贫困家庭的的学生实施义务教育资助制度；实施健康扶贫工程，扩大贫困人口大病救助制度覆盖面，减轻贫困家庭经济负担；实施保障扶贫工程，对于因各种特殊原因造成基本生活出现临时性、突发性困难的低收入家庭给予临时救助。</w:t>
      </w: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Style w:val="3"/>
        <w:pageBreakBefore w:val="0"/>
        <w:widowControl w:val="0"/>
        <w:kinsoku/>
        <w:wordWrap/>
        <w:topLinePunct w:val="0"/>
        <w:autoSpaceDE/>
        <w:autoSpaceDN/>
        <w:bidi w:val="0"/>
        <w:adjustRightInd/>
        <w:snapToGrid/>
        <w:spacing w:line="240" w:lineRule="exact"/>
        <w:ind w:left="0" w:leftChars="0" w:right="0" w:rightChars="0" w:firstLine="0" w:firstLineChars="0"/>
        <w:textAlignment w:val="auto"/>
        <w:rPr>
          <w:rFonts w:hint="eastAsia"/>
        </w:rPr>
      </w:pPr>
      <w:bookmarkStart w:id="31" w:name="_Toc20236"/>
      <w:r>
        <w:rPr>
          <w:rFonts w:hint="eastAsia"/>
        </w:rPr>
        <w:t>第二节  办好人民满意教育</w:t>
      </w:r>
      <w:bookmarkEnd w:id="31"/>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kinsoku/>
        <w:wordWrap/>
        <w:overflowPunct w:val="0"/>
        <w:topLinePunct w:val="0"/>
        <w:bidi w:val="0"/>
        <w:ind w:right="0" w:rightChars="0"/>
        <w:jc w:val="left"/>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坚持教育优先发展，深化教育综合改革，实现教育教学质量不断提升，促进城乡义务教育均衡发展。到2020年，实现区域学前教育、义务教育、民办教育协调健康发展，学生综合素质普遍提高，地区群众对教育认可度、满意度逐年提高。</w:t>
      </w:r>
    </w:p>
    <w:p>
      <w:pPr>
        <w:pageBreakBefore w:val="0"/>
        <w:kinsoku/>
        <w:wordWrap/>
        <w:overflowPunct w:val="0"/>
        <w:topLinePunct w:val="0"/>
        <w:bidi w:val="0"/>
        <w:ind w:right="0" w:rightChars="0"/>
        <w:jc w:val="left"/>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rPr>
        <w:t>推进义务教育均衡优质发展。</w:t>
      </w:r>
      <w:r>
        <w:rPr>
          <w:rFonts w:hint="eastAsia" w:ascii="仿宋_GB2312" w:eastAsia="仿宋_GB2312"/>
          <w:sz w:val="32"/>
          <w:szCs w:val="32"/>
        </w:rPr>
        <w:t>进一步加强义务教育学校标准化建设，努力扩大优质教育资源覆盖面，逐步缩小校际间、城乡间的教育差距。基本消除超大班额现象，到2020年，基本做到小学班额不超过45人、初中班额不超过50人。建立健全政府主导、社会参与的流动、留守儿童关爱服务体系和动态监测机制。切实保障贫困家庭子女、留守儿童、随迁子女、孤儿和残障儿童平等接受义务教育的权利和受教育的质量。到2020年，三类残疾儿童入学率达到95%以上。</w:t>
      </w:r>
    </w:p>
    <w:p>
      <w:pPr>
        <w:pageBreakBefore w:val="0"/>
        <w:kinsoku/>
        <w:wordWrap/>
        <w:overflowPunct w:val="0"/>
        <w:topLinePunct w:val="0"/>
        <w:bidi w:val="0"/>
        <w:ind w:right="0" w:rightChars="0"/>
        <w:jc w:val="left"/>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rPr>
        <w:t>全力提升教育教学质量。</w:t>
      </w:r>
      <w:r>
        <w:rPr>
          <w:rFonts w:hint="eastAsia" w:ascii="仿宋_GB2312" w:eastAsia="仿宋_GB2312"/>
          <w:sz w:val="32"/>
          <w:szCs w:val="32"/>
        </w:rPr>
        <w:t>加强学校内涵建设，提高课堂教学效率，面向全体学生，着力提高学生的学习、实践和创新能力。加快教育信息化发展，促进信息技术与教育教学深度融合，运用信息技术促进教育教学改革，全面提高教育教学质量。坚持德育为先，加强养成教育、法制教育、心理健康教育和中华文化传统教育，培养中小学生的理想信念、公民素质和健全人格。完善学校、家庭、社会合力育人机制，构建“三位一体”的未成年人思想道德教育体系。提升体育、卫生、艺术教育水平，开展大课间和课外体育活动一体化的阳光体育运动。多种方式组织开展青少年校园足球活动。改进美育和艺术教育发展。加强学生近视眼防治工作。</w:t>
      </w:r>
    </w:p>
    <w:p>
      <w:pPr>
        <w:pageBreakBefore w:val="0"/>
        <w:kinsoku/>
        <w:wordWrap/>
        <w:overflowPunct w:val="0"/>
        <w:topLinePunct w:val="0"/>
        <w:bidi w:val="0"/>
        <w:ind w:right="0" w:rightChars="0"/>
        <w:jc w:val="left"/>
        <w:rPr>
          <w:rFonts w:hint="eastAsia"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b/>
          <w:bCs/>
          <w:sz w:val="32"/>
          <w:szCs w:val="32"/>
        </w:rPr>
        <w:t>加强中小学教师队伍建设。</w:t>
      </w:r>
      <w:r>
        <w:rPr>
          <w:rFonts w:hint="eastAsia" w:ascii="仿宋_GB2312" w:eastAsia="仿宋_GB2312"/>
          <w:sz w:val="32"/>
          <w:szCs w:val="32"/>
        </w:rPr>
        <w:t>进一步加强师德建设，建立健全教育、宣传、考核、监督、奖惩相结合的师德建设机制。继续实施教师素养提升计划，构建完善的培训体系，完成校长、教师新一轮培训。推进校长、教师交流轮岗工作，使其制度化、常态化。坚决整治公办中小学教师违规补课行为，切实减轻学生过重的课业负担。</w:t>
      </w:r>
    </w:p>
    <w:p>
      <w:pPr>
        <w:pageBreakBefore w:val="0"/>
        <w:kinsoku/>
        <w:wordWrap/>
        <w:overflowPunct w:val="0"/>
        <w:topLinePunct w:val="0"/>
        <w:bidi w:val="0"/>
        <w:ind w:right="0" w:rightChars="0"/>
        <w:jc w:val="left"/>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lang w:val="en-US" w:eastAsia="zh-CN"/>
        </w:rPr>
        <w:t xml:space="preserve"> </w:t>
      </w:r>
      <w:r>
        <w:rPr>
          <w:rFonts w:hint="eastAsia" w:ascii="仿宋_GB2312" w:eastAsia="仿宋_GB2312"/>
          <w:b/>
          <w:bCs/>
          <w:sz w:val="32"/>
          <w:szCs w:val="32"/>
        </w:rPr>
        <w:t>促进学前教育普及、普惠和质量提升。</w:t>
      </w:r>
      <w:r>
        <w:rPr>
          <w:rFonts w:hint="eastAsia" w:ascii="仿宋_GB2312" w:eastAsia="仿宋_GB2312"/>
          <w:sz w:val="32"/>
          <w:szCs w:val="32"/>
        </w:rPr>
        <w:t>加快公办和普惠制民办幼儿园建设，按照国家和省定办园标准和装备规范，不断提高幼儿园园舍、设备设施、玩教具和师资配备，加强对幼儿园教师、园长的培养培训。严格执行幼儿园准入制度、年检制度和评估制度，实施按质定级、分类管理和指导。到2020年，学前三年幼儿入园率达到95%，公办和普惠性民办幼儿园学位覆盖率达到80 %，评星定级的幼儿园达到80%。</w:t>
      </w: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Style w:val="3"/>
        <w:pageBreakBefore w:val="0"/>
        <w:widowControl w:val="0"/>
        <w:kinsoku/>
        <w:wordWrap/>
        <w:topLinePunct w:val="0"/>
        <w:autoSpaceDE/>
        <w:autoSpaceDN/>
        <w:bidi w:val="0"/>
        <w:adjustRightInd/>
        <w:snapToGrid/>
        <w:spacing w:line="240" w:lineRule="exact"/>
        <w:ind w:left="0" w:leftChars="0" w:right="0" w:rightChars="0" w:firstLine="0" w:firstLineChars="0"/>
        <w:textAlignment w:val="auto"/>
        <w:rPr>
          <w:rFonts w:hint="eastAsia"/>
        </w:rPr>
      </w:pPr>
      <w:bookmarkStart w:id="32" w:name="_Toc7509"/>
      <w:r>
        <w:rPr>
          <w:rFonts w:hint="eastAsia"/>
        </w:rPr>
        <w:t>第三节  鼓励支持全民就业</w:t>
      </w:r>
      <w:bookmarkEnd w:id="32"/>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kinsoku/>
        <w:wordWrap/>
        <w:overflowPunct w:val="0"/>
        <w:topLinePunct w:val="0"/>
        <w:bidi w:val="0"/>
        <w:ind w:right="0" w:rightChars="0"/>
        <w:jc w:val="left"/>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把就业作为民生之本，创业作为就业之源，实现更加充分、更高质量、更加公平的就业。到2020年，</w:t>
      </w:r>
      <w:r>
        <w:rPr>
          <w:rFonts w:hint="eastAsia" w:ascii="仿宋_GB2312" w:eastAsia="仿宋_GB2312"/>
          <w:sz w:val="32"/>
          <w:szCs w:val="32"/>
          <w:lang w:eastAsia="zh-CN"/>
        </w:rPr>
        <w:t>累计</w:t>
      </w:r>
      <w:r>
        <w:rPr>
          <w:rFonts w:hint="eastAsia" w:ascii="仿宋_GB2312" w:eastAsia="仿宋_GB2312"/>
          <w:sz w:val="32"/>
          <w:szCs w:val="32"/>
        </w:rPr>
        <w:t>新增城镇就业人数</w:t>
      </w:r>
      <w:r>
        <w:rPr>
          <w:rFonts w:hint="eastAsia" w:ascii="仿宋_GB2312" w:eastAsia="仿宋_GB2312"/>
          <w:sz w:val="32"/>
          <w:szCs w:val="32"/>
          <w:lang w:val="en-US" w:eastAsia="zh-CN"/>
        </w:rPr>
        <w:t>2.5</w:t>
      </w:r>
      <w:r>
        <w:rPr>
          <w:rFonts w:hint="eastAsia" w:ascii="仿宋_GB2312" w:eastAsia="仿宋_GB2312"/>
          <w:sz w:val="32"/>
          <w:szCs w:val="32"/>
        </w:rPr>
        <w:t>万人，实名制就业</w:t>
      </w:r>
      <w:r>
        <w:rPr>
          <w:rFonts w:hint="eastAsia" w:ascii="仿宋_GB2312" w:eastAsia="仿宋_GB2312"/>
          <w:sz w:val="32"/>
          <w:szCs w:val="32"/>
          <w:lang w:val="en-US" w:eastAsia="zh-CN"/>
        </w:rPr>
        <w:t>4</w:t>
      </w:r>
      <w:r>
        <w:rPr>
          <w:rFonts w:hint="eastAsia" w:ascii="仿宋_GB2312" w:eastAsia="仿宋_GB2312"/>
          <w:sz w:val="32"/>
          <w:szCs w:val="32"/>
        </w:rPr>
        <w:t>万人，城镇居民登记失业率控制在</w:t>
      </w:r>
      <w:r>
        <w:rPr>
          <w:rFonts w:hint="eastAsia" w:ascii="仿宋_GB2312" w:eastAsia="仿宋_GB2312"/>
          <w:sz w:val="32"/>
          <w:szCs w:val="32"/>
          <w:lang w:val="en-US" w:eastAsia="zh-CN"/>
        </w:rPr>
        <w:t>4.5</w:t>
      </w:r>
      <w:r>
        <w:rPr>
          <w:rFonts w:hint="eastAsia" w:ascii="仿宋_GB2312" w:eastAsia="仿宋_GB2312"/>
          <w:sz w:val="32"/>
          <w:szCs w:val="32"/>
        </w:rPr>
        <w:t>%以内。</w:t>
      </w:r>
    </w:p>
    <w:p>
      <w:pPr>
        <w:pageBreakBefore w:val="0"/>
        <w:kinsoku/>
        <w:wordWrap/>
        <w:overflowPunct w:val="0"/>
        <w:topLinePunct w:val="0"/>
        <w:bidi w:val="0"/>
        <w:ind w:right="0" w:rightChars="0"/>
        <w:jc w:val="left"/>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lang w:val="en-US" w:eastAsia="zh-CN"/>
        </w:rPr>
        <w:t xml:space="preserve"> </w:t>
      </w:r>
      <w:r>
        <w:rPr>
          <w:rFonts w:hint="eastAsia" w:ascii="仿宋_GB2312" w:eastAsia="仿宋_GB2312"/>
          <w:b/>
          <w:bCs/>
          <w:sz w:val="32"/>
          <w:szCs w:val="32"/>
        </w:rPr>
        <w:t>千方百计扩大就业。</w:t>
      </w:r>
      <w:r>
        <w:rPr>
          <w:rFonts w:hint="eastAsia" w:ascii="仿宋_GB2312" w:eastAsia="仿宋_GB2312"/>
          <w:sz w:val="32"/>
          <w:szCs w:val="32"/>
        </w:rPr>
        <w:t>把扩大就业摆在社会发展突出位置，统筹规划和推进更加积极的城乡就业工作。广开就业门路，增加就业岗位，改善就业结构，提高就业质量。统筹抓好农村转移劳动力、城镇困难人员、下岗失业人员、退役军人、残疾人、被征地农民就业，帮助结构调整中的失业人员实现转岗就业，规范公益性岗位开发和管理。推进人力资源市场建设和就业平台标准化建设。加大创业孵化基地建设力度，鼓励和引导更多的劳动者实现就业。</w:t>
      </w:r>
    </w:p>
    <w:p>
      <w:pPr>
        <w:pageBreakBefore w:val="0"/>
        <w:kinsoku/>
        <w:wordWrap/>
        <w:overflowPunct w:val="0"/>
        <w:topLinePunct w:val="0"/>
        <w:bidi w:val="0"/>
        <w:ind w:right="0" w:rightChars="0" w:firstLine="640" w:firstLineChars="200"/>
        <w:rPr>
          <w:rFonts w:hint="eastAsia" w:ascii="仿宋_GB2312" w:eastAsia="仿宋_GB2312"/>
          <w:sz w:val="32"/>
          <w:szCs w:val="32"/>
        </w:rPr>
      </w:pPr>
      <w:r>
        <w:rPr>
          <w:rFonts w:hint="eastAsia" w:ascii="仿宋_GB2312" w:eastAsia="仿宋_GB2312"/>
          <w:b/>
          <w:bCs/>
          <w:sz w:val="32"/>
          <w:szCs w:val="32"/>
        </w:rPr>
        <w:t>强化职业教育和技能培训。</w:t>
      </w:r>
      <w:r>
        <w:rPr>
          <w:rFonts w:hint="eastAsia" w:ascii="仿宋_GB2312" w:eastAsia="仿宋_GB2312"/>
          <w:sz w:val="32"/>
          <w:szCs w:val="32"/>
        </w:rPr>
        <w:t>健全面向城乡全体劳动者的职业技能培训和终身职业培训体系，全面开展劳动预备制培训、就业技能培训、岗位技能提升培训，建立以需求为导向的培训机制，提高培训就业率。支持企业开展岗位培训，开展企业新型学徒制培训。加强农民工职业技能实训基地建设，提高农民工就业能力。规范职业资格管理，完善有利于劳动者成长成才的培养、评价、激励机制。</w:t>
      </w:r>
    </w:p>
    <w:p>
      <w:pPr>
        <w:pageBreakBefore w:val="0"/>
        <w:widowControl w:val="0"/>
        <w:kinsoku/>
        <w:wordWrap/>
        <w:overflowPunct w:val="0"/>
        <w:topLinePunct w:val="0"/>
        <w:autoSpaceDE/>
        <w:autoSpaceDN/>
        <w:bidi w:val="0"/>
        <w:adjustRightInd/>
        <w:snapToGrid/>
        <w:spacing w:line="240" w:lineRule="exact"/>
        <w:ind w:left="0" w:leftChars="0" w:right="0" w:rightChars="0" w:firstLine="640" w:firstLineChars="200"/>
        <w:textAlignment w:val="auto"/>
        <w:rPr>
          <w:rFonts w:hint="eastAsia" w:ascii="仿宋_GB2312" w:eastAsia="仿宋_GB2312"/>
          <w:sz w:val="24"/>
          <w:szCs w:val="24"/>
        </w:rPr>
      </w:pPr>
    </w:p>
    <w:p>
      <w:pPr>
        <w:pStyle w:val="3"/>
        <w:pageBreakBefore w:val="0"/>
        <w:widowControl w:val="0"/>
        <w:kinsoku/>
        <w:wordWrap/>
        <w:topLinePunct w:val="0"/>
        <w:autoSpaceDE/>
        <w:autoSpaceDN/>
        <w:bidi w:val="0"/>
        <w:adjustRightInd/>
        <w:snapToGrid/>
        <w:spacing w:line="240" w:lineRule="exact"/>
        <w:ind w:left="0" w:leftChars="0" w:right="0" w:rightChars="0"/>
        <w:textAlignment w:val="auto"/>
        <w:rPr>
          <w:rFonts w:hint="eastAsia"/>
        </w:rPr>
      </w:pPr>
      <w:bookmarkStart w:id="33" w:name="_Toc17234"/>
      <w:r>
        <w:rPr>
          <w:rFonts w:hint="eastAsia"/>
        </w:rPr>
        <w:t>第四节　提高全民健康水平</w:t>
      </w:r>
      <w:bookmarkEnd w:id="33"/>
    </w:p>
    <w:p>
      <w:pPr>
        <w:pageBreakBefore w:val="0"/>
        <w:widowControl w:val="0"/>
        <w:kinsoku/>
        <w:wordWrap/>
        <w:overflowPunct w:val="0"/>
        <w:topLinePunct w:val="0"/>
        <w:autoSpaceDE/>
        <w:autoSpaceDN/>
        <w:bidi w:val="0"/>
        <w:adjustRightInd/>
        <w:snapToGrid/>
        <w:spacing w:line="240" w:lineRule="exact"/>
        <w:ind w:left="0" w:leftChars="0" w:right="0" w:rightChars="0"/>
        <w:textAlignment w:val="auto"/>
        <w:rPr>
          <w:rFonts w:hint="eastAsia" w:ascii="仿宋_GB2312" w:eastAsia="仿宋_GB2312"/>
          <w:sz w:val="24"/>
          <w:szCs w:val="24"/>
        </w:rPr>
      </w:pP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深化医药卫生体制改革，建立健全基本医疗卫生体系，优先满足群众基本医疗卫生需求，不断提高全民健康水平。到2020年，让城乡居民人人享有基本医疗卫生服务，满足人民群众快速增长的多层次、多样化的健康需求。</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rPr>
        <w:t>积极完善公共卫生服务体系。</w:t>
      </w:r>
      <w:r>
        <w:rPr>
          <w:rFonts w:hint="eastAsia" w:ascii="仿宋_GB2312" w:eastAsia="仿宋_GB2312"/>
          <w:sz w:val="32"/>
          <w:szCs w:val="32"/>
        </w:rPr>
        <w:t>加强社会办医疗机构与公立医疗卫生机构的协同发展，完善医疗卫生服务体系建设，健全农村医疗卫生服务网络和城市社区卫生服务体系，健全突发公共卫生事件应急机制，完善预防保健、妇幼保健、传染病防控、精神卫生及老年健康服务等网络体系。</w:t>
      </w:r>
    </w:p>
    <w:p>
      <w:pPr>
        <w:pageBreakBefore w:val="0"/>
        <w:kinsoku/>
        <w:wordWrap/>
        <w:overflowPunct w:val="0"/>
        <w:topLinePunct w:val="0"/>
        <w:bidi w:val="0"/>
        <w:ind w:right="0" w:rightChars="0" w:firstLine="640" w:firstLineChars="200"/>
        <w:rPr>
          <w:rFonts w:hint="eastAsia" w:ascii="仿宋_GB2312" w:eastAsia="仿宋_GB2312"/>
          <w:sz w:val="32"/>
          <w:szCs w:val="32"/>
        </w:rPr>
      </w:pPr>
      <w:r>
        <w:rPr>
          <w:rFonts w:hint="eastAsia" w:ascii="仿宋_GB2312" w:eastAsia="仿宋_GB2312"/>
          <w:b/>
          <w:bCs/>
          <w:sz w:val="32"/>
          <w:szCs w:val="32"/>
        </w:rPr>
        <w:t>建立现代医院管理制度。</w:t>
      </w:r>
      <w:r>
        <w:rPr>
          <w:rFonts w:hint="eastAsia" w:ascii="仿宋_GB2312" w:eastAsia="仿宋_GB2312"/>
          <w:sz w:val="32"/>
          <w:szCs w:val="32"/>
        </w:rPr>
        <w:t>探索形成各类城市医院和基层医疗卫生机构合理分工与协作机制。推广普及居民健康卡、促进分级诊疗、双向转诊、转变医疗卫生服务管理模式，优先满足群众基本医疗卫生需求，提高医疗卫生服务能力和管理水平。</w:t>
      </w:r>
    </w:p>
    <w:tbl>
      <w:tblPr>
        <w:tblStyle w:val="12"/>
        <w:tblW w:w="8820"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36"/>
        <w:gridCol w:w="2180"/>
        <w:gridCol w:w="1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9" w:hRule="atLeast"/>
        </w:trPr>
        <w:tc>
          <w:tcPr>
            <w:tcW w:w="8820" w:type="dxa"/>
            <w:gridSpan w:val="3"/>
            <w:vAlign w:val="center"/>
          </w:tcPr>
          <w:p>
            <w:pPr>
              <w:keepNext w:val="0"/>
              <w:keepLines w:val="0"/>
              <w:pageBreakBefore w:val="0"/>
              <w:widowControl w:val="0"/>
              <w:kinsoku/>
              <w:wordWrap/>
              <w:overflowPunct w:val="0"/>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宋体" w:hAnsi="宋体" w:eastAsia="宋体" w:cs="宋体"/>
                <w:b/>
                <w:bCs/>
                <w:sz w:val="28"/>
                <w:szCs w:val="28"/>
                <w:lang w:eastAsia="zh-CN"/>
              </w:rPr>
            </w:pPr>
            <w:r>
              <w:rPr>
                <w:rFonts w:hint="eastAsia" w:ascii="宋体" w:hAnsi="宋体" w:cs="宋体"/>
                <w:b/>
                <w:bCs/>
                <w:sz w:val="28"/>
                <w:szCs w:val="28"/>
                <w:lang w:eastAsia="zh-CN"/>
              </w:rPr>
              <w:t>专栏九：医疗卫生事业发展目标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exact"/>
        </w:trPr>
        <w:tc>
          <w:tcPr>
            <w:tcW w:w="4736" w:type="dxa"/>
            <w:vAlign w:val="center"/>
          </w:tcPr>
          <w:p>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宋体" w:hAnsi="宋体" w:eastAsia="宋体" w:cs="宋体"/>
                <w:b/>
                <w:bCs/>
                <w:sz w:val="24"/>
                <w:szCs w:val="24"/>
              </w:rPr>
            </w:pPr>
            <w:r>
              <w:rPr>
                <w:rFonts w:hint="eastAsia" w:ascii="宋体" w:hAnsi="宋体" w:eastAsia="宋体" w:cs="宋体"/>
                <w:b/>
                <w:bCs/>
                <w:sz w:val="24"/>
                <w:szCs w:val="24"/>
              </w:rPr>
              <w:t>主要指标</w:t>
            </w:r>
          </w:p>
        </w:tc>
        <w:tc>
          <w:tcPr>
            <w:tcW w:w="2180" w:type="dxa"/>
            <w:vAlign w:val="center"/>
          </w:tcPr>
          <w:p>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宋体" w:hAnsi="宋体" w:eastAsia="宋体" w:cs="宋体"/>
                <w:b/>
                <w:bCs/>
                <w:sz w:val="24"/>
                <w:szCs w:val="24"/>
              </w:rPr>
            </w:pPr>
            <w:r>
              <w:rPr>
                <w:rFonts w:hint="eastAsia" w:ascii="宋体" w:hAnsi="宋体" w:eastAsia="宋体" w:cs="宋体"/>
                <w:b/>
                <w:bCs/>
                <w:sz w:val="24"/>
                <w:szCs w:val="24"/>
              </w:rPr>
              <w:t>2020年目标</w:t>
            </w:r>
          </w:p>
        </w:tc>
        <w:tc>
          <w:tcPr>
            <w:tcW w:w="190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宋体" w:hAnsi="宋体" w:eastAsia="宋体" w:cs="宋体"/>
                <w:b/>
                <w:bCs/>
                <w:sz w:val="24"/>
                <w:szCs w:val="24"/>
              </w:rPr>
            </w:pPr>
            <w:r>
              <w:rPr>
                <w:rFonts w:hint="eastAsia" w:ascii="宋体" w:hAnsi="宋体" w:eastAsia="宋体" w:cs="宋体"/>
                <w:b/>
                <w:bCs/>
                <w:sz w:val="24"/>
                <w:szCs w:val="24"/>
              </w:rPr>
              <w:t>2014年现状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4" w:hRule="exact"/>
        </w:trPr>
        <w:tc>
          <w:tcPr>
            <w:tcW w:w="4736" w:type="dxa"/>
            <w:vAlign w:val="center"/>
          </w:tcPr>
          <w:p>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每千常住人口医疗卫生机构床位数（张）</w:t>
            </w:r>
          </w:p>
        </w:tc>
        <w:tc>
          <w:tcPr>
            <w:tcW w:w="2180" w:type="dxa"/>
            <w:vAlign w:val="center"/>
          </w:tcPr>
          <w:p>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4.7</w:t>
            </w:r>
          </w:p>
        </w:tc>
        <w:tc>
          <w:tcPr>
            <w:tcW w:w="190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 w:hRule="exact"/>
        </w:trPr>
        <w:tc>
          <w:tcPr>
            <w:tcW w:w="4736" w:type="dxa"/>
            <w:vAlign w:val="center"/>
          </w:tcPr>
          <w:p>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其中：</w:t>
            </w:r>
            <w:r>
              <w:rPr>
                <w:rFonts w:hint="eastAsia" w:ascii="宋体" w:hAnsi="宋体" w:eastAsia="宋体" w:cs="宋体"/>
                <w:sz w:val="24"/>
                <w:szCs w:val="24"/>
              </w:rPr>
              <w:t>医院床位数（张）</w:t>
            </w:r>
          </w:p>
        </w:tc>
        <w:tc>
          <w:tcPr>
            <w:tcW w:w="2180" w:type="dxa"/>
            <w:vAlign w:val="center"/>
          </w:tcPr>
          <w:p>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3.6</w:t>
            </w:r>
          </w:p>
        </w:tc>
        <w:tc>
          <w:tcPr>
            <w:tcW w:w="190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3.39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exact"/>
        </w:trPr>
        <w:tc>
          <w:tcPr>
            <w:tcW w:w="4736" w:type="dxa"/>
            <w:vAlign w:val="center"/>
          </w:tcPr>
          <w:p>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cs="宋体"/>
                <w:sz w:val="24"/>
                <w:szCs w:val="24"/>
                <w:lang w:val="en-US" w:eastAsia="zh-CN"/>
              </w:rPr>
              <w:t xml:space="preserve">  </w:t>
            </w:r>
            <w:r>
              <w:rPr>
                <w:rFonts w:hint="eastAsia" w:ascii="宋体" w:hAnsi="宋体" w:eastAsia="宋体" w:cs="宋体"/>
                <w:sz w:val="24"/>
                <w:szCs w:val="24"/>
                <w:lang w:eastAsia="zh-CN"/>
              </w:rPr>
              <w:t>其中：</w:t>
            </w:r>
            <w:r>
              <w:rPr>
                <w:rFonts w:hint="eastAsia" w:ascii="宋体" w:hAnsi="宋体" w:eastAsia="宋体" w:cs="宋体"/>
                <w:sz w:val="24"/>
                <w:szCs w:val="24"/>
              </w:rPr>
              <w:t>公立医院床位数（张）</w:t>
            </w:r>
          </w:p>
        </w:tc>
        <w:tc>
          <w:tcPr>
            <w:tcW w:w="2180" w:type="dxa"/>
            <w:vAlign w:val="center"/>
          </w:tcPr>
          <w:p>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2.6</w:t>
            </w:r>
          </w:p>
        </w:tc>
        <w:tc>
          <w:tcPr>
            <w:tcW w:w="190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3.39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0" w:hRule="exact"/>
        </w:trPr>
        <w:tc>
          <w:tcPr>
            <w:tcW w:w="4736" w:type="dxa"/>
            <w:vAlign w:val="center"/>
          </w:tcPr>
          <w:p>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cs="宋体"/>
                <w:sz w:val="24"/>
                <w:szCs w:val="24"/>
                <w:lang w:val="en-US" w:eastAsia="zh-CN"/>
              </w:rPr>
              <w:t xml:space="preserve">  </w:t>
            </w:r>
            <w:r>
              <w:rPr>
                <w:rFonts w:hint="eastAsia" w:ascii="宋体" w:hAnsi="宋体" w:eastAsia="宋体" w:cs="宋体"/>
                <w:sz w:val="24"/>
                <w:szCs w:val="24"/>
              </w:rPr>
              <w:t>社会办医院床位数（张）</w:t>
            </w:r>
          </w:p>
        </w:tc>
        <w:tc>
          <w:tcPr>
            <w:tcW w:w="2180" w:type="dxa"/>
            <w:vAlign w:val="center"/>
          </w:tcPr>
          <w:p>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1.0</w:t>
            </w:r>
          </w:p>
        </w:tc>
        <w:tc>
          <w:tcPr>
            <w:tcW w:w="190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 w:hRule="exact"/>
        </w:trPr>
        <w:tc>
          <w:tcPr>
            <w:tcW w:w="4736" w:type="dxa"/>
            <w:vAlign w:val="center"/>
          </w:tcPr>
          <w:p>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基层医疗卫生机构床位数（张）</w:t>
            </w:r>
          </w:p>
        </w:tc>
        <w:tc>
          <w:tcPr>
            <w:tcW w:w="2180" w:type="dxa"/>
            <w:vAlign w:val="center"/>
          </w:tcPr>
          <w:p>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1.1</w:t>
            </w:r>
          </w:p>
        </w:tc>
        <w:tc>
          <w:tcPr>
            <w:tcW w:w="190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1.14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exact"/>
        </w:trPr>
        <w:tc>
          <w:tcPr>
            <w:tcW w:w="4736" w:type="dxa"/>
            <w:vAlign w:val="center"/>
          </w:tcPr>
          <w:p>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每千常住人口执业（助理）医师数</w:t>
            </w:r>
            <w:r>
              <w:rPr>
                <w:rFonts w:hint="eastAsia" w:ascii="宋体" w:hAnsi="宋体" w:cs="宋体"/>
                <w:sz w:val="24"/>
                <w:szCs w:val="24"/>
                <w:lang w:eastAsia="zh-CN"/>
              </w:rPr>
              <w:t>（人）</w:t>
            </w:r>
          </w:p>
        </w:tc>
        <w:tc>
          <w:tcPr>
            <w:tcW w:w="2180" w:type="dxa"/>
            <w:vAlign w:val="center"/>
          </w:tcPr>
          <w:p>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2.0</w:t>
            </w:r>
          </w:p>
        </w:tc>
        <w:tc>
          <w:tcPr>
            <w:tcW w:w="190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1.44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exact"/>
        </w:trPr>
        <w:tc>
          <w:tcPr>
            <w:tcW w:w="4736" w:type="dxa"/>
            <w:vAlign w:val="center"/>
          </w:tcPr>
          <w:p>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每千常住人口注册护士数（人）</w:t>
            </w:r>
          </w:p>
        </w:tc>
        <w:tc>
          <w:tcPr>
            <w:tcW w:w="2180" w:type="dxa"/>
            <w:vAlign w:val="center"/>
          </w:tcPr>
          <w:p>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2.6</w:t>
            </w:r>
          </w:p>
        </w:tc>
        <w:tc>
          <w:tcPr>
            <w:tcW w:w="190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1.88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4" w:hRule="exact"/>
        </w:trPr>
        <w:tc>
          <w:tcPr>
            <w:tcW w:w="4736" w:type="dxa"/>
            <w:vAlign w:val="center"/>
          </w:tcPr>
          <w:p>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每千常住人口公共卫生人员数（人）</w:t>
            </w:r>
          </w:p>
        </w:tc>
        <w:tc>
          <w:tcPr>
            <w:tcW w:w="2180" w:type="dxa"/>
            <w:vAlign w:val="center"/>
          </w:tcPr>
          <w:p>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0.83</w:t>
            </w:r>
          </w:p>
        </w:tc>
        <w:tc>
          <w:tcPr>
            <w:tcW w:w="190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0.49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5" w:hRule="exact"/>
        </w:trPr>
        <w:tc>
          <w:tcPr>
            <w:tcW w:w="4736" w:type="dxa"/>
            <w:vAlign w:val="center"/>
          </w:tcPr>
          <w:p>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每万常住人口全科医生数（人）</w:t>
            </w:r>
          </w:p>
        </w:tc>
        <w:tc>
          <w:tcPr>
            <w:tcW w:w="2180" w:type="dxa"/>
            <w:vAlign w:val="center"/>
          </w:tcPr>
          <w:p>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2.0</w:t>
            </w:r>
          </w:p>
        </w:tc>
        <w:tc>
          <w:tcPr>
            <w:tcW w:w="190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1" w:hRule="exact"/>
        </w:trPr>
        <w:tc>
          <w:tcPr>
            <w:tcW w:w="4736" w:type="dxa"/>
            <w:vAlign w:val="center"/>
          </w:tcPr>
          <w:p>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医护比</w:t>
            </w:r>
          </w:p>
        </w:tc>
        <w:tc>
          <w:tcPr>
            <w:tcW w:w="2180" w:type="dxa"/>
            <w:vAlign w:val="center"/>
          </w:tcPr>
          <w:p>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1:1.3</w:t>
            </w:r>
          </w:p>
        </w:tc>
        <w:tc>
          <w:tcPr>
            <w:tcW w:w="190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1:1.3</w:t>
            </w:r>
          </w:p>
        </w:tc>
      </w:tr>
    </w:tbl>
    <w:p>
      <w:pPr>
        <w:pStyle w:val="3"/>
        <w:keepNext/>
        <w:keepLines/>
        <w:pageBreakBefore w:val="0"/>
        <w:widowControl w:val="0"/>
        <w:kinsoku/>
        <w:wordWrap/>
        <w:overflowPunct/>
        <w:topLinePunct w:val="0"/>
        <w:autoSpaceDE/>
        <w:autoSpaceDN/>
        <w:bidi w:val="0"/>
        <w:adjustRightInd/>
        <w:snapToGrid/>
        <w:spacing w:before="20" w:beforeLines="0" w:after="20" w:afterLines="0" w:line="240" w:lineRule="exact"/>
        <w:ind w:left="0" w:leftChars="0" w:right="0" w:rightChars="0" w:firstLine="0" w:firstLineChars="0"/>
        <w:jc w:val="center"/>
        <w:textAlignment w:val="auto"/>
        <w:outlineLvl w:val="1"/>
        <w:rPr>
          <w:rFonts w:hint="eastAsia" w:ascii="仿宋_GB2312" w:hAnsi="仿宋_GB2312" w:eastAsia="仿宋_GB2312" w:cs="仿宋_GB2312"/>
          <w:sz w:val="24"/>
          <w:szCs w:val="24"/>
        </w:rPr>
      </w:pPr>
    </w:p>
    <w:p>
      <w:pPr>
        <w:pStyle w:val="3"/>
        <w:keepNext/>
        <w:keepLines/>
        <w:pageBreakBefore w:val="0"/>
        <w:widowControl w:val="0"/>
        <w:kinsoku/>
        <w:wordWrap/>
        <w:overflowPunct/>
        <w:topLinePunct w:val="0"/>
        <w:autoSpaceDE/>
        <w:autoSpaceDN/>
        <w:bidi w:val="0"/>
        <w:adjustRightInd/>
        <w:snapToGrid/>
        <w:spacing w:before="20" w:beforeLines="0" w:after="20" w:afterLines="0" w:line="240" w:lineRule="auto"/>
        <w:ind w:left="0" w:leftChars="0" w:right="0" w:rightChars="0" w:firstLine="0" w:firstLineChars="0"/>
        <w:jc w:val="center"/>
        <w:textAlignment w:val="auto"/>
        <w:outlineLvl w:val="1"/>
        <w:rPr>
          <w:rFonts w:hint="eastAsia"/>
        </w:rPr>
      </w:pPr>
      <w:bookmarkStart w:id="34" w:name="_Toc23104"/>
      <w:r>
        <w:rPr>
          <w:rFonts w:hint="eastAsia"/>
        </w:rPr>
        <w:t>第五节　健全公共文化服务体系</w:t>
      </w:r>
      <w:bookmarkEnd w:id="34"/>
    </w:p>
    <w:p>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eastAsia="仿宋_GB2312"/>
          <w:sz w:val="24"/>
          <w:szCs w:val="24"/>
        </w:rPr>
      </w:pP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坚持社会主义先进文化前进方向，大力发展文化事业和文化产业，构建覆盖城乡的公共文化服务体系。到2020年，建成较为完善的文体公共服务设施网络，实现文化产品、文化传播服务、文化休闲娱乐活动均等化，形成具有区域特色的文化体育事业发展格局。</w:t>
      </w:r>
    </w:p>
    <w:p>
      <w:pPr>
        <w:pageBreakBefore w:val="0"/>
        <w:kinsoku/>
        <w:wordWrap/>
        <w:overflowPunct w:val="0"/>
        <w:topLinePunct w:val="0"/>
        <w:bidi w:val="0"/>
        <w:ind w:right="0" w:rightChars="0" w:firstLine="640" w:firstLineChars="200"/>
        <w:rPr>
          <w:rFonts w:hint="eastAsia" w:ascii="仿宋_GB2312" w:hAnsi="宋体" w:eastAsia="仿宋_GB2312" w:cs="宋体"/>
          <w:sz w:val="32"/>
          <w:szCs w:val="32"/>
          <w:highlight w:val="none"/>
        </w:rPr>
      </w:pPr>
      <w:r>
        <w:rPr>
          <w:rFonts w:hint="eastAsia" w:ascii="仿宋_GB2312" w:eastAsia="仿宋_GB2312"/>
          <w:b/>
          <w:bCs/>
          <w:sz w:val="32"/>
          <w:szCs w:val="32"/>
        </w:rPr>
        <w:t>构建现代公共文化服务体系。</w:t>
      </w:r>
      <w:r>
        <w:rPr>
          <w:rFonts w:hint="eastAsia" w:ascii="仿宋_GB2312" w:eastAsia="仿宋_GB2312"/>
          <w:b w:val="0"/>
          <w:bCs w:val="0"/>
          <w:sz w:val="32"/>
          <w:szCs w:val="32"/>
        </w:rPr>
        <w:t>推进基层综合性文化服务中心建设，启动文体活动中心（室）、</w:t>
      </w:r>
      <w:r>
        <w:rPr>
          <w:rFonts w:hint="eastAsia" w:ascii="仿宋_GB2312" w:eastAsia="仿宋_GB2312"/>
          <w:sz w:val="32"/>
          <w:szCs w:val="32"/>
        </w:rPr>
        <w:t>活动广场、公共电子阅览室等文化项目建设，打造青少年体育运动项目特色学校，推动地区企事业单位文体设施建设及使用，鼓励党政机关、国有企事业单位和学校的各类文体设施向全社会免费或优惠开放，引导广场文体活动健康、规范、有序开展。</w:t>
      </w:r>
      <w:r>
        <w:rPr>
          <w:rFonts w:hint="eastAsia" w:ascii="仿宋_GB2312" w:eastAsia="仿宋_GB2312"/>
          <w:color w:val="auto"/>
          <w:sz w:val="32"/>
          <w:szCs w:val="32"/>
          <w:highlight w:val="none"/>
        </w:rPr>
        <w:t>大力实施文体惠民工程，向城乡群众提供基本公共文化体育服务。</w:t>
      </w:r>
      <w:r>
        <w:rPr>
          <w:rFonts w:hint="eastAsia" w:ascii="仿宋_GB2312" w:hAnsi="宋体" w:eastAsia="仿宋_GB2312" w:cs="宋体"/>
          <w:color w:val="auto"/>
          <w:sz w:val="32"/>
          <w:szCs w:val="32"/>
          <w:highlight w:val="none"/>
        </w:rPr>
        <w:t>开展全民阅读等活动巩固社区（农家）书屋工程成果，开展流动文化服务工程提升文化下基层质量，开展形式多样的送演出、送服务、送公益电影进村屯</w:t>
      </w:r>
      <w:r>
        <w:rPr>
          <w:rFonts w:hint="eastAsia" w:ascii="仿宋_GB2312" w:hAnsi="宋体" w:eastAsia="仿宋_GB2312" w:cs="宋体"/>
          <w:sz w:val="32"/>
          <w:szCs w:val="32"/>
          <w:highlight w:val="none"/>
        </w:rPr>
        <w:t>、进社区、进工地、进军营活动，扩大文体服务覆盖面。</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highlight w:val="none"/>
        </w:rPr>
        <w:t>发展壮大文化体育产业</w:t>
      </w:r>
      <w:r>
        <w:rPr>
          <w:rFonts w:hint="eastAsia" w:ascii="仿宋_GB2312" w:eastAsia="仿宋_GB2312"/>
          <w:b/>
          <w:bCs/>
          <w:sz w:val="32"/>
          <w:szCs w:val="32"/>
        </w:rPr>
        <w:t>。</w:t>
      </w:r>
      <w:r>
        <w:rPr>
          <w:rFonts w:hint="eastAsia" w:ascii="仿宋_GB2312" w:eastAsia="仿宋_GB2312"/>
          <w:sz w:val="32"/>
          <w:szCs w:val="32"/>
        </w:rPr>
        <w:t>推进文化产业发展，充分发挥望花人文历史优势，提升和发展传统文化产业，推动文化、创意、经济、技术之间的相互促进，提高望花</w:t>
      </w:r>
      <w:r>
        <w:rPr>
          <w:rFonts w:hint="eastAsia" w:ascii="仿宋_GB2312" w:eastAsia="仿宋_GB2312"/>
          <w:sz w:val="32"/>
          <w:szCs w:val="32"/>
          <w:lang w:eastAsia="zh-CN"/>
        </w:rPr>
        <w:t>文化</w:t>
      </w:r>
      <w:r>
        <w:rPr>
          <w:rFonts w:hint="eastAsia" w:ascii="仿宋_GB2312" w:eastAsia="仿宋_GB2312"/>
          <w:sz w:val="32"/>
          <w:szCs w:val="32"/>
        </w:rPr>
        <w:t>产业的自主创新能力、市场经营能力，逐步形成融合度高、竞争力强、布局合理的产业发展格局。打造煤精琥珀产业。以煤精琥珀博物馆为龙头，支持煤精琥珀协会发挥应有作用，助推、扶持、培育煤精琥珀交易市场，推动煤精琥珀文化产业发展。大力发展健身休闲、竞技表演、技术培训、无形资产开发等体育产业鼓励社会各界兴办面向大众的体育实体，满足人民群众日益增长的体育健身消费需求，形成与全民健身服务体系相配套的经营性的健身娱乐和技术培训网络。</w:t>
      </w:r>
    </w:p>
    <w:p>
      <w:pPr>
        <w:pageBreakBefore w:val="0"/>
        <w:kinsoku/>
        <w:wordWrap/>
        <w:overflowPunct w:val="0"/>
        <w:topLinePunct w:val="0"/>
        <w:bidi w:val="0"/>
        <w:ind w:right="0" w:rightChars="0"/>
        <w:rPr>
          <w:rFonts w:hint="eastAsia" w:ascii="仿宋_GB2312" w:eastAsia="仿宋_GB2312"/>
          <w:sz w:val="24"/>
          <w:szCs w:val="24"/>
        </w:rPr>
      </w:pPr>
      <w:r>
        <w:rPr>
          <w:rFonts w:hint="eastAsia" w:ascii="仿宋_GB2312" w:eastAsia="仿宋_GB2312"/>
          <w:b/>
          <w:bCs/>
          <w:sz w:val="32"/>
          <w:szCs w:val="32"/>
          <w:lang w:val="en-US" w:eastAsia="zh-CN"/>
        </w:rPr>
        <w:t xml:space="preserve">    </w:t>
      </w:r>
      <w:r>
        <w:rPr>
          <w:rFonts w:hint="eastAsia" w:ascii="仿宋_GB2312" w:eastAsia="仿宋_GB2312"/>
          <w:b/>
          <w:bCs/>
          <w:sz w:val="32"/>
          <w:szCs w:val="32"/>
        </w:rPr>
        <w:t>大力开展文化体育活动。</w:t>
      </w:r>
      <w:r>
        <w:rPr>
          <w:rFonts w:hint="eastAsia" w:ascii="仿宋_GB2312" w:eastAsia="仿宋_GB2312"/>
          <w:sz w:val="32"/>
          <w:szCs w:val="32"/>
        </w:rPr>
        <w:t>开展各具特色的文化体育活动，吸引各层面群众广泛参与，</w:t>
      </w:r>
      <w:r>
        <w:rPr>
          <w:rFonts w:hint="eastAsia" w:ascii="仿宋_GB2312" w:hAnsi="宋体" w:eastAsia="仿宋_GB2312" w:cs="宋体"/>
          <w:b w:val="0"/>
          <w:bCs w:val="0"/>
          <w:sz w:val="32"/>
          <w:szCs w:val="32"/>
          <w:highlight w:val="none"/>
          <w:lang w:eastAsia="zh-CN"/>
        </w:rPr>
        <w:t>组织开展节庆文化活动、地区群众文化艺术节、群众广场文体活动、读书节、邻居节、校园文化艺术节、望花地区全民运动会、各类地区体育比赛等形式多样的、群众喜闻乐见的文化体育活动，满足群众参与全民健身活动、享受文化体育生活的需求。</w:t>
      </w:r>
      <w:r>
        <w:rPr>
          <w:rFonts w:hint="eastAsia" w:ascii="仿宋_GB2312" w:eastAsia="仿宋_GB2312"/>
          <w:sz w:val="32"/>
          <w:szCs w:val="32"/>
        </w:rPr>
        <w:t>积极开展校园足球、专业足球和社会足球活动。加强文体队伍建设，以“专群结合、文体结合”的方式，形成横向到边、纵向到底、区域全覆盖的文体队伍。</w:t>
      </w:r>
    </w:p>
    <w:tbl>
      <w:tblPr>
        <w:tblStyle w:val="12"/>
        <w:tblW w:w="88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trPr>
        <w:tc>
          <w:tcPr>
            <w:tcW w:w="8860" w:type="dxa"/>
            <w:vAlign w:val="center"/>
          </w:tcPr>
          <w:p>
            <w:pPr>
              <w:pageBreakBefore w:val="0"/>
              <w:kinsoku/>
              <w:wordWrap/>
              <w:overflowPunct w:val="0"/>
              <w:topLinePunct w:val="0"/>
              <w:bidi w:val="0"/>
              <w:adjustRightInd w:val="0"/>
              <w:snapToGrid w:val="0"/>
              <w:spacing w:line="240" w:lineRule="auto"/>
              <w:ind w:right="0" w:rightChars="0"/>
              <w:jc w:val="center"/>
              <w:rPr>
                <w:rFonts w:hint="eastAsia" w:ascii="宋体" w:hAnsi="宋体" w:cs="宋体"/>
                <w:sz w:val="24"/>
                <w:bdr w:val="single" w:color="auto" w:sz="4" w:space="0"/>
              </w:rPr>
            </w:pPr>
            <w:r>
              <w:rPr>
                <w:rFonts w:hint="eastAsia" w:ascii="宋体" w:hAnsi="宋体" w:cs="宋体"/>
                <w:b/>
                <w:bCs/>
                <w:sz w:val="28"/>
                <w:szCs w:val="28"/>
              </w:rPr>
              <w:t>专栏</w:t>
            </w:r>
            <w:r>
              <w:rPr>
                <w:rFonts w:hint="eastAsia" w:ascii="宋体" w:hAnsi="宋体" w:cs="宋体"/>
                <w:b/>
                <w:bCs/>
                <w:sz w:val="28"/>
                <w:szCs w:val="28"/>
                <w:lang w:eastAsia="zh-CN"/>
              </w:rPr>
              <w:t>十</w:t>
            </w:r>
            <w:r>
              <w:rPr>
                <w:rFonts w:hint="eastAsia" w:ascii="宋体" w:hAnsi="宋体" w:cs="宋体"/>
                <w:b/>
                <w:bCs/>
                <w:sz w:val="28"/>
                <w:szCs w:val="28"/>
              </w:rPr>
              <w:t>：文化体育事业重点项目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76" w:hRule="atLeast"/>
        </w:trPr>
        <w:tc>
          <w:tcPr>
            <w:tcW w:w="8860" w:type="dxa"/>
            <w:vAlign w:val="center"/>
          </w:tcPr>
          <w:p>
            <w:pPr>
              <w:keepNext w:val="0"/>
              <w:keepLines w:val="0"/>
              <w:pageBreakBefore w:val="0"/>
              <w:widowControl w:val="0"/>
              <w:kinsoku/>
              <w:wordWrap/>
              <w:overflowPunct w:val="0"/>
              <w:topLinePunct w:val="0"/>
              <w:autoSpaceDE/>
              <w:autoSpaceDN/>
              <w:bidi w:val="0"/>
              <w:adjustRightInd w:val="0"/>
              <w:snapToGrid w:val="0"/>
              <w:spacing w:line="500" w:lineRule="exact"/>
              <w:ind w:left="0" w:leftChars="0" w:right="0" w:rightChars="0" w:firstLine="0" w:firstLineChars="0"/>
              <w:jc w:val="both"/>
              <w:textAlignment w:val="auto"/>
              <w:outlineLvl w:val="9"/>
              <w:rPr>
                <w:rFonts w:hint="eastAsia" w:ascii="宋体" w:hAnsi="宋体" w:cs="宋体"/>
                <w:sz w:val="28"/>
                <w:szCs w:val="28"/>
              </w:rPr>
            </w:pPr>
            <w:r>
              <w:rPr>
                <w:rFonts w:hint="eastAsia" w:ascii="宋体" w:hAnsi="宋体" w:cs="宋体"/>
                <w:sz w:val="28"/>
                <w:szCs w:val="28"/>
              </w:rPr>
              <w:t>2.45万平方米综合性文化体育活动中心1处</w:t>
            </w:r>
          </w:p>
          <w:p>
            <w:pPr>
              <w:keepNext w:val="0"/>
              <w:keepLines w:val="0"/>
              <w:pageBreakBefore w:val="0"/>
              <w:widowControl w:val="0"/>
              <w:kinsoku/>
              <w:wordWrap/>
              <w:overflowPunct w:val="0"/>
              <w:topLinePunct w:val="0"/>
              <w:autoSpaceDE/>
              <w:autoSpaceDN/>
              <w:bidi w:val="0"/>
              <w:adjustRightInd w:val="0"/>
              <w:snapToGrid w:val="0"/>
              <w:spacing w:line="500" w:lineRule="exact"/>
              <w:ind w:left="0" w:leftChars="0" w:right="0" w:rightChars="0" w:firstLine="0" w:firstLineChars="0"/>
              <w:jc w:val="both"/>
              <w:textAlignment w:val="auto"/>
              <w:outlineLvl w:val="9"/>
              <w:rPr>
                <w:rFonts w:hint="eastAsia" w:ascii="宋体" w:hAnsi="宋体" w:cs="宋体"/>
                <w:sz w:val="28"/>
                <w:szCs w:val="28"/>
              </w:rPr>
            </w:pPr>
            <w:r>
              <w:rPr>
                <w:rFonts w:hint="eastAsia" w:ascii="宋体" w:hAnsi="宋体" w:cs="宋体"/>
                <w:color w:val="auto"/>
                <w:sz w:val="28"/>
                <w:szCs w:val="28"/>
                <w:shd w:val="clear" w:color="auto" w:fill="auto"/>
              </w:rPr>
              <w:t>社</w:t>
            </w:r>
            <w:r>
              <w:rPr>
                <w:rFonts w:hint="eastAsia" w:ascii="宋体" w:hAnsi="宋体" w:cs="宋体"/>
                <w:sz w:val="28"/>
                <w:szCs w:val="28"/>
              </w:rPr>
              <w:t>区（村）综合性公共文体活动室90个</w:t>
            </w:r>
          </w:p>
          <w:p>
            <w:pPr>
              <w:keepNext w:val="0"/>
              <w:keepLines w:val="0"/>
              <w:pageBreakBefore w:val="0"/>
              <w:widowControl w:val="0"/>
              <w:kinsoku/>
              <w:wordWrap/>
              <w:overflowPunct w:val="0"/>
              <w:topLinePunct w:val="0"/>
              <w:autoSpaceDE/>
              <w:autoSpaceDN/>
              <w:bidi w:val="0"/>
              <w:adjustRightInd w:val="0"/>
              <w:snapToGrid w:val="0"/>
              <w:spacing w:line="500" w:lineRule="exact"/>
              <w:ind w:left="0" w:leftChars="0" w:right="0" w:rightChars="0" w:firstLine="0" w:firstLineChars="0"/>
              <w:jc w:val="both"/>
              <w:textAlignment w:val="auto"/>
              <w:outlineLvl w:val="9"/>
              <w:rPr>
                <w:rFonts w:hint="eastAsia" w:ascii="宋体" w:hAnsi="宋体" w:cs="宋体"/>
                <w:sz w:val="28"/>
                <w:szCs w:val="28"/>
                <w:highlight w:val="none"/>
              </w:rPr>
            </w:pPr>
            <w:r>
              <w:rPr>
                <w:rFonts w:hint="eastAsia" w:ascii="宋体" w:hAnsi="宋体" w:cs="宋体"/>
                <w:sz w:val="28"/>
                <w:szCs w:val="28"/>
                <w:highlight w:val="none"/>
              </w:rPr>
              <w:t>群众文体广场90处</w:t>
            </w:r>
          </w:p>
          <w:p>
            <w:pPr>
              <w:keepNext w:val="0"/>
              <w:keepLines w:val="0"/>
              <w:pageBreakBefore w:val="0"/>
              <w:widowControl w:val="0"/>
              <w:kinsoku/>
              <w:wordWrap/>
              <w:overflowPunct w:val="0"/>
              <w:topLinePunct w:val="0"/>
              <w:autoSpaceDE/>
              <w:autoSpaceDN/>
              <w:bidi w:val="0"/>
              <w:adjustRightInd w:val="0"/>
              <w:snapToGrid w:val="0"/>
              <w:spacing w:line="500" w:lineRule="exact"/>
              <w:ind w:left="0" w:leftChars="0" w:right="0" w:rightChars="0" w:firstLine="0" w:firstLineChars="0"/>
              <w:jc w:val="both"/>
              <w:textAlignment w:val="auto"/>
              <w:outlineLvl w:val="9"/>
              <w:rPr>
                <w:rFonts w:hint="eastAsia" w:ascii="宋体" w:hAnsi="宋体" w:cs="宋体"/>
                <w:sz w:val="28"/>
                <w:szCs w:val="28"/>
              </w:rPr>
            </w:pPr>
            <w:r>
              <w:rPr>
                <w:rFonts w:hint="eastAsia" w:ascii="宋体" w:hAnsi="宋体" w:cs="宋体"/>
                <w:sz w:val="28"/>
                <w:szCs w:val="28"/>
              </w:rPr>
              <w:t>电子阅览室70个</w:t>
            </w:r>
          </w:p>
          <w:p>
            <w:pPr>
              <w:keepNext w:val="0"/>
              <w:keepLines w:val="0"/>
              <w:pageBreakBefore w:val="0"/>
              <w:widowControl w:val="0"/>
              <w:kinsoku/>
              <w:wordWrap/>
              <w:overflowPunct w:val="0"/>
              <w:topLinePunct w:val="0"/>
              <w:autoSpaceDE/>
              <w:autoSpaceDN/>
              <w:bidi w:val="0"/>
              <w:adjustRightInd w:val="0"/>
              <w:snapToGrid w:val="0"/>
              <w:spacing w:line="500" w:lineRule="exact"/>
              <w:ind w:left="0" w:leftChars="0" w:right="0" w:rightChars="0" w:firstLine="0" w:firstLineChars="0"/>
              <w:jc w:val="both"/>
              <w:textAlignment w:val="auto"/>
              <w:outlineLvl w:val="9"/>
              <w:rPr>
                <w:rFonts w:hint="eastAsia" w:ascii="宋体" w:hAnsi="宋体" w:cs="宋体"/>
                <w:sz w:val="28"/>
                <w:szCs w:val="28"/>
                <w:bdr w:val="single" w:color="auto" w:sz="4" w:space="0"/>
              </w:rPr>
            </w:pPr>
            <w:r>
              <w:rPr>
                <w:rFonts w:hint="eastAsia" w:ascii="宋体" w:hAnsi="宋体" w:cs="宋体"/>
                <w:sz w:val="28"/>
                <w:szCs w:val="28"/>
              </w:rPr>
              <w:t>青少年体育运动项目特色学校10个</w:t>
            </w:r>
          </w:p>
        </w:tc>
      </w:tr>
    </w:tbl>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Style w:val="3"/>
        <w:pageBreakBefore w:val="0"/>
        <w:widowControl w:val="0"/>
        <w:kinsoku/>
        <w:wordWrap/>
        <w:topLinePunct w:val="0"/>
        <w:autoSpaceDE/>
        <w:autoSpaceDN/>
        <w:bidi w:val="0"/>
        <w:adjustRightInd/>
        <w:snapToGrid/>
        <w:spacing w:line="240" w:lineRule="exact"/>
        <w:ind w:left="0" w:leftChars="0" w:right="0" w:rightChars="0" w:firstLine="0" w:firstLineChars="0"/>
        <w:textAlignment w:val="auto"/>
        <w:rPr>
          <w:rFonts w:hint="eastAsia"/>
        </w:rPr>
      </w:pPr>
      <w:bookmarkStart w:id="35" w:name="_Toc2159"/>
      <w:r>
        <w:rPr>
          <w:rFonts w:hint="eastAsia"/>
          <w:lang w:eastAsia="zh-CN"/>
        </w:rPr>
        <w:t>第六节</w:t>
      </w:r>
      <w:r>
        <w:rPr>
          <w:rFonts w:hint="eastAsia"/>
          <w:lang w:val="en-US" w:eastAsia="zh-CN"/>
        </w:rPr>
        <w:t xml:space="preserve">  提高全社会精神文明建设水平</w:t>
      </w:r>
      <w:bookmarkEnd w:id="35"/>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kinsoku/>
        <w:wordWrap/>
        <w:overflowPunct w:val="0"/>
        <w:topLinePunct w:val="0"/>
        <w:bidi w:val="0"/>
        <w:ind w:right="0" w:rightChars="0"/>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加强社会主义核心价值体系建设，大力传承和弘扬雷锋精神，深入开展中国特色社会主义和中国梦教育，深化群众性精神文明创建活动，全面持续有效地提高全社会文明建设水平，为实现四个全面战略提供有力的思想保证、精神动力和智力支持。</w:t>
      </w:r>
    </w:p>
    <w:p>
      <w:pPr>
        <w:pageBreakBefore w:val="0"/>
        <w:kinsoku/>
        <w:wordWrap/>
        <w:overflowPunct w:val="0"/>
        <w:topLinePunct w:val="0"/>
        <w:bidi w:val="0"/>
        <w:ind w:right="0" w:rightChars="0"/>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w:t>
      </w:r>
      <w:r>
        <w:rPr>
          <w:rFonts w:hint="eastAsia" w:ascii="仿宋_GB2312" w:eastAsia="仿宋_GB2312"/>
          <w:b/>
          <w:bCs/>
          <w:sz w:val="32"/>
          <w:szCs w:val="32"/>
          <w:lang w:val="en-US" w:eastAsia="zh-CN"/>
        </w:rPr>
        <w:t xml:space="preserve"> 全面加强社会主义核心价值体系建设。</w:t>
      </w:r>
      <w:r>
        <w:rPr>
          <w:rFonts w:hint="eastAsia" w:ascii="仿宋_GB2312" w:eastAsia="仿宋_GB2312"/>
          <w:sz w:val="32"/>
          <w:szCs w:val="32"/>
          <w:lang w:val="en-US" w:eastAsia="zh-CN"/>
        </w:rPr>
        <w:t>加强社会主义核心价值观宣传教育，大力弘扬以爱国主义为核心的民族精神和以改革创新为核心的时代精神，构建传承中华传统美德、符合社会主义精神文明要求的道德和行为规范，深入开展“三倡导”宣传教育活动，推进社会公德、职业道德、家庭美德、个人品德建设。加强政务诚信、商务诚信、社会诚信和司法诚信教育。</w:t>
      </w:r>
    </w:p>
    <w:p>
      <w:pPr>
        <w:pageBreakBefore w:val="0"/>
        <w:kinsoku/>
        <w:wordWrap/>
        <w:overflowPunct w:val="0"/>
        <w:topLinePunct w:val="0"/>
        <w:bidi w:val="0"/>
        <w:ind w:right="0" w:rightChars="0"/>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w:t>
      </w:r>
      <w:r>
        <w:rPr>
          <w:rFonts w:hint="eastAsia" w:ascii="仿宋_GB2312" w:eastAsia="仿宋_GB2312"/>
          <w:b/>
          <w:bCs/>
          <w:sz w:val="32"/>
          <w:szCs w:val="32"/>
          <w:lang w:val="en-US" w:eastAsia="zh-CN"/>
        </w:rPr>
        <w:t xml:space="preserve"> 推进雷锋城区建设。</w:t>
      </w:r>
      <w:r>
        <w:rPr>
          <w:rFonts w:hint="eastAsia" w:ascii="仿宋_GB2312" w:eastAsia="仿宋_GB2312"/>
          <w:sz w:val="32"/>
          <w:szCs w:val="32"/>
          <w:lang w:val="en-US" w:eastAsia="zh-CN"/>
        </w:rPr>
        <w:t>在城市规划和建设中，增加固化雷锋元素，在城区的重要街路、中心广场、城市节点上充分展示望花区的工业文化、科研成果，以及弘扬雷锋精神、加强精神文明建设取得的重大成果。充分发挥“雷字号”单位的引领示范作用，加强对雷锋文化的研究、推广，不断丰富雷锋文化的时代内涵。充分发挥望花地区学雷锋志愿服务大联盟的作用，全面深化便民服务“110”活动，规范和整合地区志愿服务资源，组织成立地区“志愿者联合会”，加速推进学雷锋活动的常态化发展进程。</w:t>
      </w:r>
    </w:p>
    <w:p>
      <w:pPr>
        <w:pageBreakBefore w:val="0"/>
        <w:kinsoku/>
        <w:wordWrap/>
        <w:overflowPunct w:val="0"/>
        <w:topLinePunct w:val="0"/>
        <w:bidi w:val="0"/>
        <w:ind w:right="0" w:rightChars="0"/>
        <w:rPr>
          <w:rFonts w:hint="eastAsia" w:ascii="仿宋_GB2312" w:eastAsia="仿宋_GB2312"/>
          <w:sz w:val="32"/>
          <w:szCs w:val="32"/>
          <w:lang w:eastAsia="zh-CN"/>
        </w:rPr>
      </w:pPr>
      <w:r>
        <w:rPr>
          <w:rFonts w:hint="eastAsia" w:ascii="仿宋_GB2312" w:eastAsia="仿宋_GB2312"/>
          <w:sz w:val="32"/>
          <w:szCs w:val="32"/>
          <w:lang w:val="en-US" w:eastAsia="zh-CN"/>
        </w:rPr>
        <w:t xml:space="preserve">    </w:t>
      </w:r>
      <w:r>
        <w:rPr>
          <w:rFonts w:hint="eastAsia" w:ascii="仿宋_GB2312" w:eastAsia="仿宋_GB2312"/>
          <w:b/>
          <w:bCs/>
          <w:sz w:val="32"/>
          <w:szCs w:val="32"/>
          <w:lang w:val="en-US" w:eastAsia="zh-CN"/>
        </w:rPr>
        <w:t>拓展群众性精神文明创建活动。</w:t>
      </w:r>
      <w:r>
        <w:rPr>
          <w:rFonts w:hint="eastAsia" w:ascii="仿宋_GB2312" w:eastAsia="仿宋_GB2312"/>
          <w:sz w:val="32"/>
          <w:szCs w:val="32"/>
          <w:lang w:val="en-US" w:eastAsia="zh-CN"/>
        </w:rPr>
        <w:t>创新活动载体、丰富活动内涵，弘扬科学精神，加强人文关怀，强化职业操守，支持创新创业。深化社区精神文明创建“五个一”活动。在“望花好人”品牌创建工作的基础上，深入挖掘选树更高层次的道德典型，引领向上向善、诚信互助的社会风尚。</w:t>
      </w: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Style w:val="3"/>
        <w:pageBreakBefore w:val="0"/>
        <w:widowControl w:val="0"/>
        <w:kinsoku/>
        <w:wordWrap/>
        <w:topLinePunct w:val="0"/>
        <w:autoSpaceDE/>
        <w:autoSpaceDN/>
        <w:bidi w:val="0"/>
        <w:adjustRightInd/>
        <w:snapToGrid/>
        <w:spacing w:line="240" w:lineRule="exact"/>
        <w:ind w:left="0" w:leftChars="0" w:right="0" w:rightChars="0" w:firstLine="0" w:firstLineChars="0"/>
        <w:textAlignment w:val="auto"/>
        <w:rPr>
          <w:rFonts w:hint="eastAsia"/>
        </w:rPr>
      </w:pPr>
      <w:bookmarkStart w:id="36" w:name="_Toc15336"/>
      <w:r>
        <w:rPr>
          <w:rFonts w:hint="eastAsia"/>
        </w:rPr>
        <w:t>第</w:t>
      </w:r>
      <w:r>
        <w:rPr>
          <w:rFonts w:hint="eastAsia"/>
          <w:lang w:eastAsia="zh-CN"/>
        </w:rPr>
        <w:t>七</w:t>
      </w:r>
      <w:r>
        <w:rPr>
          <w:rFonts w:hint="eastAsia"/>
        </w:rPr>
        <w:t>节　健全社会保障体系</w:t>
      </w:r>
      <w:bookmarkEnd w:id="36"/>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按照保基本、兜底线、补短板、可持续方针，以社会保险、社会救助、社会福利为基础，以基本医疗、基本养老、最低生活保障制度为重点，加快建立覆盖城乡居民的社会保障体系。到2020年，城镇失业保险、基本养老保险、职工基本医疗保险覆盖率分别达到96%、97%、100%，实现人人享有基本社会保障。</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rPr>
        <w:t>完善社会保障体系建设。</w:t>
      </w:r>
      <w:r>
        <w:rPr>
          <w:rFonts w:hint="eastAsia" w:ascii="仿宋_GB2312" w:eastAsia="仿宋_GB2312"/>
          <w:sz w:val="32"/>
          <w:szCs w:val="32"/>
        </w:rPr>
        <w:t>从民生工作建设入手，着力保障和改善民生，切实做好惠民实事工程，努力为群众办实事。加强城镇养老、医疗、失业、工伤、生育等社会保险扩面征缴工作，稳步推进新型农村社会养老保险工作，不断提高社会保障水平。统筹推进城乡社保制度建设，健全以养老保险、失业保险、基本医疗保险为主体的社会保障体系，不断扩大社会保障覆盖范围。加强企业退休人员社会化管理工作。不断完善农村救灾救济体制，妥善解决失地农民社会保障问题。不断完善城乡社会捐助救助体系，大力发展红十字等慈善事业，健全以养老为重点的社会福利体系。建立残疾人基本生活重点保障和特殊救助体系。</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rPr>
        <w:t>深化社会保障制度改革。</w:t>
      </w:r>
      <w:r>
        <w:rPr>
          <w:rFonts w:hint="eastAsia" w:ascii="仿宋_GB2312" w:eastAsia="仿宋_GB2312"/>
          <w:sz w:val="32"/>
          <w:szCs w:val="32"/>
        </w:rPr>
        <w:t>坚持和巩固社会统筹与个人账户相结合的城镇企业职工基本养老保险制度，完成机关事业单位养老保险制度改革并实现平稳运行，完善各项养老保险制度衔接机制。整合城乡居民医疗保障管理体制，统一城乡居民基本医疗保险制度。加快发展健全企业年金、职业年金和补充医疗保险，促进商业保险与社会保障衔接，形成多层次的社会保障体系。切实履行劳动调解仲裁机构的职能，促进劳动关系和谐稳定，不断提高企业劳动合同签订率，充分发挥劳动关系三方协调机制的作用，大力推进集体协商和集体合同制度，切实维护职工合法权益。</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lang w:val="en-US" w:eastAsia="zh-CN"/>
        </w:rPr>
        <w:t xml:space="preserve"> </w:t>
      </w:r>
      <w:r>
        <w:rPr>
          <w:rFonts w:hint="eastAsia" w:ascii="仿宋_GB2312" w:eastAsia="仿宋_GB2312"/>
          <w:b/>
          <w:bCs/>
          <w:sz w:val="32"/>
          <w:szCs w:val="32"/>
        </w:rPr>
        <w:t>提高社会保障待遇水平。</w:t>
      </w:r>
      <w:r>
        <w:rPr>
          <w:rFonts w:hint="eastAsia" w:ascii="仿宋_GB2312" w:eastAsia="仿宋_GB2312"/>
          <w:sz w:val="32"/>
          <w:szCs w:val="32"/>
        </w:rPr>
        <w:t>稳步扩大基本医疗保险保障范围，提高城乡居民医疗保险政府补助标准。完善失业保险金标准与物价上涨挂钩联动调整机制，提高失业保险待遇占职工平均工资的比例。调整并完善工伤保险待遇结构，提高工伤待遇水平。规范生育保险待遇项目和标准，全面推进生育保险待遇与定点医疗结构直接结算。</w:t>
      </w: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Style w:val="3"/>
        <w:pageBreakBefore w:val="0"/>
        <w:widowControl w:val="0"/>
        <w:kinsoku/>
        <w:wordWrap/>
        <w:topLinePunct w:val="0"/>
        <w:autoSpaceDE/>
        <w:autoSpaceDN/>
        <w:bidi w:val="0"/>
        <w:adjustRightInd/>
        <w:snapToGrid/>
        <w:spacing w:line="240" w:lineRule="exact"/>
        <w:ind w:left="0" w:leftChars="0" w:right="0" w:rightChars="0" w:firstLine="0" w:firstLineChars="0"/>
        <w:textAlignment w:val="auto"/>
        <w:rPr>
          <w:rFonts w:hint="eastAsia"/>
        </w:rPr>
      </w:pPr>
      <w:bookmarkStart w:id="37" w:name="_Toc25247"/>
      <w:r>
        <w:rPr>
          <w:rFonts w:hint="eastAsia"/>
        </w:rPr>
        <w:t>第</w:t>
      </w:r>
      <w:r>
        <w:rPr>
          <w:rFonts w:hint="eastAsia"/>
          <w:lang w:eastAsia="zh-CN"/>
        </w:rPr>
        <w:t>八</w:t>
      </w:r>
      <w:r>
        <w:rPr>
          <w:rFonts w:hint="eastAsia"/>
        </w:rPr>
        <w:t>节　全面做好人口工作</w:t>
      </w:r>
      <w:bookmarkEnd w:id="37"/>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深入落实国家和省市妇女、儿童发展纲要，促进残疾人事业全面发展，积极应对人口老龄化。到2020年，全区妇女合法权益得到切实保障，儿童成长环境持续改善，残疾人生活的更加体面，社会养老床位达到每千名老人40张。</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rPr>
        <w:t>促进妇女儿童全面发展。</w:t>
      </w:r>
      <w:r>
        <w:rPr>
          <w:rFonts w:hint="eastAsia" w:ascii="仿宋_GB2312" w:eastAsia="仿宋_GB2312"/>
          <w:sz w:val="32"/>
          <w:szCs w:val="32"/>
        </w:rPr>
        <w:t>落实男女平等基本国策，保证妇女平等获得就学、就业、社会保障、婚姻家庭、参与社会管理的权利，关注单身母亲，加强妇女保健、扶贫、减灾、劳动保护和法律援助，提高妇女参与经济发展和社会管理能力。坚持儿童优先原则，提高儿童工作社会化服务水平，建成集社会救助、儿童住养为一体的望花区社会福利中心。</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lang w:val="en-US" w:eastAsia="zh-CN"/>
        </w:rPr>
        <w:t xml:space="preserve"> </w:t>
      </w:r>
      <w:r>
        <w:rPr>
          <w:rFonts w:hint="eastAsia" w:ascii="仿宋_GB2312" w:eastAsia="仿宋_GB2312"/>
          <w:b/>
          <w:bCs/>
          <w:sz w:val="32"/>
          <w:szCs w:val="32"/>
        </w:rPr>
        <w:t>积极发展残疾人事业。</w:t>
      </w:r>
      <w:r>
        <w:rPr>
          <w:rFonts w:hint="eastAsia" w:ascii="仿宋_GB2312" w:eastAsia="仿宋_GB2312"/>
          <w:sz w:val="32"/>
          <w:szCs w:val="32"/>
        </w:rPr>
        <w:t>加快推进残疾人社会保障体系和服务体系建设，保障残疾人基本生活、医疗、康复、教育、就业等基本需求。</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rPr>
        <w:t>积极应对人口老龄化。</w:t>
      </w:r>
      <w:r>
        <w:rPr>
          <w:rFonts w:hint="eastAsia" w:ascii="仿宋_GB2312" w:eastAsia="仿宋_GB2312"/>
          <w:sz w:val="32"/>
          <w:szCs w:val="32"/>
        </w:rPr>
        <w:t>优先发展社会养老服务，逐步实现老龄服务由帮扶型向普惠型发展，建立与经济发展水平相适应的覆盖城乡的养老体系。建成一所区级多功能老年人活动中心，有条件的街镇建立一个面积不低于250平方米的社区老年人服务中心，社区每万人拥有养老服务设施面积达到200平方米以上。</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rPr>
        <w:t>促进人口长期均衡协调发展。</w:t>
      </w:r>
      <w:r>
        <w:rPr>
          <w:rFonts w:hint="eastAsia" w:ascii="仿宋_GB2312" w:eastAsia="仿宋_GB2312"/>
          <w:sz w:val="32"/>
          <w:szCs w:val="32"/>
        </w:rPr>
        <w:t>坚持计划生育基本国策，提高出生人口素质，优化人口结构，出生人口性别比控制在103—107之间，年均人口出生率和自然增长率分别为6‰和1‰左右，促进人口长期均衡发展。健全人口、计划生育社会管理和公共服务体系，落实计划生育及相关公共政策，实现基本公共服务均等化。</w:t>
      </w: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Style w:val="2"/>
        <w:pageBreakBefore w:val="0"/>
        <w:widowControl w:val="0"/>
        <w:kinsoku/>
        <w:wordWrap/>
        <w:topLinePunct w:val="0"/>
        <w:autoSpaceDE/>
        <w:autoSpaceDN/>
        <w:bidi w:val="0"/>
        <w:adjustRightInd/>
        <w:snapToGrid/>
        <w:spacing w:line="240" w:lineRule="exact"/>
        <w:ind w:left="0" w:leftChars="0" w:right="0" w:rightChars="0" w:firstLine="0" w:firstLineChars="0"/>
        <w:textAlignment w:val="auto"/>
        <w:rPr>
          <w:rFonts w:hint="eastAsia"/>
        </w:rPr>
      </w:pPr>
      <w:bookmarkStart w:id="38" w:name="_Toc31112"/>
      <w:r>
        <w:rPr>
          <w:rFonts w:hint="eastAsia"/>
        </w:rPr>
        <w:t>第七章　建设法治望花　促进社会安定和谐发展</w:t>
      </w:r>
      <w:bookmarkEnd w:id="38"/>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按照建设中国特色社会主义法治体系的要求，创新社会管理机制，加快法治望花建设。到2020年，实现执法严格、司法公正、全民守法，法治望花建设取得显著成效。</w:t>
      </w: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Style w:val="3"/>
        <w:pageBreakBefore w:val="0"/>
        <w:widowControl w:val="0"/>
        <w:kinsoku/>
        <w:wordWrap/>
        <w:topLinePunct w:val="0"/>
        <w:autoSpaceDE/>
        <w:autoSpaceDN/>
        <w:bidi w:val="0"/>
        <w:adjustRightInd/>
        <w:snapToGrid/>
        <w:spacing w:line="240" w:lineRule="exact"/>
        <w:ind w:left="0" w:leftChars="0" w:right="0" w:rightChars="0" w:firstLine="0" w:firstLineChars="0"/>
        <w:textAlignment w:val="auto"/>
        <w:rPr>
          <w:rFonts w:hint="eastAsia"/>
        </w:rPr>
      </w:pPr>
      <w:bookmarkStart w:id="39" w:name="_Toc26708"/>
      <w:r>
        <w:rPr>
          <w:rFonts w:hint="eastAsia"/>
        </w:rPr>
        <w:t>第一节　加强法治建设</w:t>
      </w:r>
      <w:bookmarkEnd w:id="39"/>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kinsoku/>
        <w:wordWrap/>
        <w:overflowPunct w:val="0"/>
        <w:topLinePunct w:val="0"/>
        <w:bidi w:val="0"/>
        <w:ind w:right="0" w:right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坚持依法治区、依法行政共同推进，法治望花、法治政府、法治社会一体建设。到2020年，建立起治理完善、运行高效、监管有力、廉洁亲民的管理制度和运行模式。</w:t>
      </w:r>
    </w:p>
    <w:p>
      <w:pPr>
        <w:pageBreakBefore w:val="0"/>
        <w:kinsoku/>
        <w:wordWrap/>
        <w:overflowPunct w:val="0"/>
        <w:topLinePunct w:val="0"/>
        <w:bidi w:val="0"/>
        <w:ind w:right="0" w:right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rPr>
        <w:t>建设法治政府。</w:t>
      </w:r>
      <w:r>
        <w:rPr>
          <w:rFonts w:hint="eastAsia" w:ascii="仿宋_GB2312" w:hAnsi="仿宋_GB2312" w:eastAsia="仿宋_GB2312" w:cs="仿宋_GB2312"/>
          <w:sz w:val="32"/>
          <w:szCs w:val="32"/>
        </w:rPr>
        <w:t>自觉接受同级人民代表大会及其常委会的依法监督和政协的民主监督。依法界定和规范政府的经济调节、市场监管、社会管理和公共服务职能，加快推进政企分开、政资分开、政事分开、政府与市场中介组织分开。进一步理顺事业单位的职能和权限，积极推进事业单位分类改革。健全机构编制管理与财政预算、组织人事管理的配合制约机制。落实《政府信息公开条例》，深化公共企事业单位办事公开，深入推进基层政务公开工作。</w:t>
      </w:r>
      <w:r>
        <w:rPr>
          <w:rFonts w:hint="eastAsia" w:ascii="仿宋_GB2312" w:hAnsi="仿宋_GB2312" w:eastAsia="仿宋_GB2312" w:cs="仿宋_GB2312"/>
          <w:b w:val="0"/>
          <w:bCs w:val="0"/>
          <w:sz w:val="32"/>
          <w:szCs w:val="32"/>
          <w:highlight w:val="none"/>
          <w:lang w:val="en-US" w:eastAsia="zh-CN"/>
        </w:rPr>
        <w:t>在不断强化人民调解工作基础上，积极拓展专业性、行业性调解领域，提高化解矛盾纠纷能力和效率。健全和完善社区矫正和安置帮教工作机制，进一步强化管控措施和保障力度。</w:t>
      </w:r>
    </w:p>
    <w:p>
      <w:pPr>
        <w:pageBreakBefore w:val="0"/>
        <w:kinsoku/>
        <w:wordWrap/>
        <w:overflowPunct w:val="0"/>
        <w:topLinePunct w:val="0"/>
        <w:bidi w:val="0"/>
        <w:ind w:right="0" w:right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rPr>
        <w:t>建设廉洁政府。</w:t>
      </w:r>
      <w:r>
        <w:rPr>
          <w:rFonts w:hint="eastAsia" w:ascii="仿宋_GB2312" w:hAnsi="仿宋_GB2312" w:eastAsia="仿宋_GB2312" w:cs="仿宋_GB2312"/>
          <w:b w:val="0"/>
          <w:bCs w:val="0"/>
          <w:sz w:val="32"/>
          <w:szCs w:val="32"/>
          <w:lang w:val="en-US" w:eastAsia="zh-CN"/>
        </w:rPr>
        <w:t>坚持全面从严治党，落实“三严三实”要求，严明党的纪律和规矩，落实党风廉政建设主体责任和监督责任。扎实推进惩防体系建设，认真贯彻执行《中国共产党廉洁自律准则》和《中国共产党纪律处分条例》等法规制度。健全改进作风的长效机制， 强化权力运行制约和监督。坚持科学民主决策，推进决策合法性审查和责任追究，强化对重要领域、关键岗位的行政监察和审计监督。规范和监督公职人员履职行为，构建不敢腐、不能腐、不想腐的有效机制，努力实现干部清正、政府清廉、政治清明。</w:t>
      </w:r>
    </w:p>
    <w:p>
      <w:pPr>
        <w:pageBreakBefore w:val="0"/>
        <w:kinsoku/>
        <w:wordWrap/>
        <w:overflowPunct w:val="0"/>
        <w:topLinePunct w:val="0"/>
        <w:bidi w:val="0"/>
        <w:ind w:right="0" w:right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rPr>
        <w:t>建设法治社会。</w:t>
      </w:r>
      <w:r>
        <w:rPr>
          <w:rFonts w:hint="eastAsia" w:ascii="仿宋_GB2312" w:hAnsi="仿宋_GB2312" w:eastAsia="仿宋_GB2312" w:cs="仿宋_GB2312"/>
          <w:sz w:val="32"/>
          <w:szCs w:val="32"/>
        </w:rPr>
        <w:t>认真实施“七五”普法规划，深入开展“民主法治示范村（社区）”和“法律六进”活动，注重培养党员领导干部和国家公职人员的法治思维、法治信仰。引导全民自觉守法、遇事找法、解决问题靠法。加强社会道德建设，引导人民群众自觉履行法定义务、社会责任和家庭责任。努力构建管理有序、诚信执业的法律服务工作体系，强化法律援助职能作用，不断满足弱势群体对法律援助的需求。</w:t>
      </w: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Style w:val="3"/>
        <w:pageBreakBefore w:val="0"/>
        <w:widowControl w:val="0"/>
        <w:kinsoku/>
        <w:wordWrap/>
        <w:topLinePunct w:val="0"/>
        <w:autoSpaceDE/>
        <w:autoSpaceDN/>
        <w:bidi w:val="0"/>
        <w:adjustRightInd/>
        <w:snapToGrid/>
        <w:spacing w:line="240" w:lineRule="exact"/>
        <w:ind w:left="0" w:leftChars="0" w:right="0" w:rightChars="0" w:firstLine="0" w:firstLineChars="0"/>
        <w:textAlignment w:val="auto"/>
        <w:rPr>
          <w:rFonts w:hint="eastAsia"/>
        </w:rPr>
      </w:pPr>
      <w:bookmarkStart w:id="40" w:name="_Toc17226"/>
      <w:r>
        <w:rPr>
          <w:rFonts w:hint="eastAsia"/>
        </w:rPr>
        <w:t>第二节　构建社会治理体系</w:t>
      </w:r>
      <w:bookmarkEnd w:id="40"/>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加强基层社会管理和服务体系建设，健全和完善预警和应急体系，促进政府基本公共服务、居民志愿互助服务、市场提供服务有效衔接。到2020年，实现政府治理和社会自我调节、居民自治良性互动。</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rPr>
        <w:t>改进社会治理方式。</w:t>
      </w:r>
      <w:r>
        <w:rPr>
          <w:rFonts w:hint="eastAsia" w:ascii="仿宋_GB2312" w:eastAsia="仿宋_GB2312"/>
          <w:sz w:val="32"/>
          <w:szCs w:val="32"/>
        </w:rPr>
        <w:t>规范物业管理，有序推进物业管理市场化。积极创新推进社区（村）网格化管理，以居民需求为导向，充分运用现代信息和通讯技术，整合管理职能和服务资源，建立社区综合管理信息平台，切实强化社区综合管理和服务功能，全区社区用房全部达到400平方米以上，农村村部（农村社区）用房全部达到350平方米以上。</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rPr>
        <w:t>激发社会组织活力。</w:t>
      </w:r>
      <w:r>
        <w:rPr>
          <w:rFonts w:hint="eastAsia" w:ascii="仿宋_GB2312" w:eastAsia="仿宋_GB2312"/>
          <w:sz w:val="32"/>
          <w:szCs w:val="32"/>
        </w:rPr>
        <w:t>按照培育发展与监督管理并重的原则，大力培育包括社会团体、行业组织、社会中介组织、志愿团体等在内的各类社会组织，充分发挥其在提供服务、反映诉求、规范行为等方面的作用，运用社会资源推进社会建设和管理。</w:t>
      </w:r>
    </w:p>
    <w:p>
      <w:pPr>
        <w:pageBreakBefore w:val="0"/>
        <w:kinsoku/>
        <w:wordWrap/>
        <w:overflowPunct w:val="0"/>
        <w:topLinePunct w:val="0"/>
        <w:bidi w:val="0"/>
        <w:ind w:right="0" w:rightChars="0" w:firstLine="640" w:firstLineChars="200"/>
        <w:rPr>
          <w:rFonts w:hint="eastAsia" w:ascii="仿宋_GB2312" w:eastAsia="仿宋_GB2312"/>
          <w:sz w:val="32"/>
          <w:szCs w:val="32"/>
        </w:rPr>
      </w:pPr>
      <w:r>
        <w:rPr>
          <w:rFonts w:hint="eastAsia" w:ascii="仿宋_GB2312" w:eastAsia="仿宋_GB2312"/>
          <w:b/>
          <w:bCs/>
          <w:sz w:val="32"/>
          <w:szCs w:val="32"/>
        </w:rPr>
        <w:t>稳步推进平安建设。</w:t>
      </w:r>
      <w:r>
        <w:rPr>
          <w:rFonts w:hint="eastAsia" w:ascii="仿宋_GB2312" w:eastAsia="仿宋_GB2312"/>
          <w:sz w:val="32"/>
          <w:szCs w:val="32"/>
        </w:rPr>
        <w:t>严厉打击各种违法犯罪活动，维护社会治安，完善反恐、应急处置预案，坚持应急演练制度，提升公共安全事件应急处置能力。落实“党政同责、一岗双责、齐抓共管”要求，加强各类企业安全生产监督管理、严控生产安全事故发生，初步实现从防范伤亡事故向全面做好安全和职业安全与健康工作转变。加强交通、消防、食品药品、环境健康等公共安全隐患排查整治，强化安监队伍建设，提升专业技术</w:t>
      </w:r>
      <w:r>
        <w:rPr>
          <w:rFonts w:hint="eastAsia" w:ascii="仿宋_GB2312" w:eastAsia="仿宋_GB2312"/>
          <w:sz w:val="32"/>
          <w:szCs w:val="32"/>
          <w:lang w:eastAsia="zh-CN"/>
        </w:rPr>
        <w:t>水平</w:t>
      </w:r>
      <w:r>
        <w:rPr>
          <w:rFonts w:hint="eastAsia" w:ascii="仿宋_GB2312" w:eastAsia="仿宋_GB2312"/>
          <w:sz w:val="32"/>
          <w:szCs w:val="32"/>
        </w:rPr>
        <w:t>，强化安全生产管控机制，实现社会安全监管执法和综合治理网格化、一体化，完善公共安全食品监控系统，深化特殊人群管理服务，推进平安建设。</w:t>
      </w:r>
    </w:p>
    <w:p>
      <w:pPr>
        <w:pageBreakBefore w:val="0"/>
        <w:kinsoku/>
        <w:wordWrap/>
        <w:overflowPunct w:val="0"/>
        <w:topLinePunct w:val="0"/>
        <w:bidi w:val="0"/>
        <w:ind w:right="0" w:rightChars="0"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加强防控体系建设。</w:t>
      </w:r>
      <w:r>
        <w:rPr>
          <w:rFonts w:hint="eastAsia" w:ascii="仿宋_GB2312" w:hAnsi="仿宋_GB2312" w:eastAsia="仿宋_GB2312" w:cs="仿宋_GB2312"/>
          <w:sz w:val="32"/>
          <w:szCs w:val="32"/>
          <w:lang w:eastAsia="zh-CN"/>
        </w:rPr>
        <w:t>加强立体化社会治安防控体系建设，创新三个合作机制：建立“情指合一”的指挥警务合作机制，实现视频监控全覆盖、指挥调度扁平化、打击犯罪精确化，在主要街路、重点部位新建高清视频探头550个，每个社区新建视频监控探头5-10个；建立“互助协作”的社区警务合作机制，强化内部合作、内外合作，实现整体联动，实现公安派出所社区警务室建设标准全部达标，建设23个基层派出所合作区警务室；建立“四轮驱动”的巡防警务合作机制，以公安为主力军，提升单位（场所）自防能力，壮大平安志愿者队伍等群防群治力量，构建全社会立体化社会治安防控网络。</w:t>
      </w:r>
    </w:p>
    <w:p>
      <w:pPr>
        <w:pageBreakBefore w:val="0"/>
        <w:widowControl w:val="0"/>
        <w:kinsoku/>
        <w:wordWrap/>
        <w:overflowPunct w:val="0"/>
        <w:topLinePunct w:val="0"/>
        <w:autoSpaceDE/>
        <w:autoSpaceDN/>
        <w:bidi w:val="0"/>
        <w:adjustRightInd/>
        <w:snapToGrid/>
        <w:spacing w:line="240" w:lineRule="exact"/>
        <w:ind w:left="0" w:leftChars="0" w:right="0" w:rightChars="0" w:firstLine="0" w:firstLineChars="0"/>
        <w:textAlignment w:val="auto"/>
        <w:rPr>
          <w:rFonts w:hint="eastAsia" w:ascii="仿宋_GB2312" w:eastAsia="仿宋_GB2312"/>
          <w:sz w:val="24"/>
          <w:szCs w:val="24"/>
        </w:rPr>
      </w:pPr>
    </w:p>
    <w:p>
      <w:pPr>
        <w:pStyle w:val="3"/>
        <w:pageBreakBefore w:val="0"/>
        <w:widowControl w:val="0"/>
        <w:kinsoku/>
        <w:wordWrap/>
        <w:topLinePunct w:val="0"/>
        <w:autoSpaceDE/>
        <w:autoSpaceDN/>
        <w:bidi w:val="0"/>
        <w:adjustRightInd/>
        <w:snapToGrid/>
        <w:spacing w:before="157" w:beforeLines="50" w:line="240" w:lineRule="exact"/>
        <w:ind w:left="0" w:leftChars="0" w:right="0" w:rightChars="0" w:firstLine="0" w:firstLineChars="0"/>
        <w:textAlignment w:val="auto"/>
        <w:rPr>
          <w:rFonts w:hint="eastAsia"/>
        </w:rPr>
      </w:pPr>
      <w:bookmarkStart w:id="41" w:name="_Toc13965"/>
      <w:r>
        <w:rPr>
          <w:rFonts w:hint="eastAsia"/>
        </w:rPr>
        <w:t>第三节　预防化解社会矛盾</w:t>
      </w:r>
      <w:bookmarkEnd w:id="41"/>
    </w:p>
    <w:p>
      <w:pPr>
        <w:pageBreakBefore w:val="0"/>
        <w:widowControl w:val="0"/>
        <w:kinsoku/>
        <w:wordWrap/>
        <w:overflowPunct w:val="0"/>
        <w:topLinePunct w:val="0"/>
        <w:autoSpaceDE/>
        <w:autoSpaceDN/>
        <w:bidi w:val="0"/>
        <w:adjustRightInd/>
        <w:snapToGrid/>
        <w:spacing w:before="157" w:beforeLines="50" w:line="240" w:lineRule="exact"/>
        <w:ind w:left="0" w:leftChars="0" w:right="0" w:rightChars="0" w:firstLine="0" w:firstLineChars="0"/>
        <w:textAlignment w:val="auto"/>
        <w:rPr>
          <w:rFonts w:hint="eastAsia" w:ascii="仿宋_GB2312" w:eastAsia="仿宋_GB2312"/>
          <w:sz w:val="24"/>
          <w:szCs w:val="24"/>
        </w:rPr>
      </w:pPr>
    </w:p>
    <w:p>
      <w:pPr>
        <w:pageBreakBefore w:val="0"/>
        <w:kinsoku/>
        <w:wordWrap/>
        <w:overflowPunct w:val="0"/>
        <w:topLinePunct w:val="0"/>
        <w:bidi w:val="0"/>
        <w:ind w:right="0" w:rightChars="0"/>
        <w:rPr>
          <w:rFonts w:hint="eastAsia" w:ascii="仿宋_GB2312" w:hAnsi="仿宋_GB2312" w:eastAsia="仿宋_GB2312" w:cs="仿宋_GB2312"/>
          <w:sz w:val="32"/>
          <w:szCs w:val="32"/>
        </w:rPr>
      </w:pPr>
      <w:r>
        <w:rPr>
          <w:rFonts w:hint="eastAsia" w:ascii="仿宋_GB2312" w:eastAsia="仿宋_GB2312"/>
          <w:sz w:val="32"/>
          <w:szCs w:val="32"/>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建立和完善社会稳定预警、防控和矛盾纠纷调处机制。到2020年，构建起信访、调解、综治“三位一体”的社会矛盾排查化解机制，掌握预防化解社会矛盾主动权，确保社会大局持续稳定。</w:t>
      </w:r>
    </w:p>
    <w:p>
      <w:pPr>
        <w:pageBreakBefore w:val="0"/>
        <w:kinsoku/>
        <w:wordWrap/>
        <w:overflowPunct w:val="0"/>
        <w:topLinePunct w:val="0"/>
        <w:bidi w:val="0"/>
        <w:ind w:right="0" w:right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健全矛盾纠纷预防和化解机制。</w:t>
      </w:r>
      <w:r>
        <w:rPr>
          <w:rFonts w:hint="eastAsia" w:ascii="仿宋_GB2312" w:hAnsi="仿宋_GB2312" w:eastAsia="仿宋_GB2312" w:cs="仿宋_GB2312"/>
          <w:sz w:val="32"/>
          <w:szCs w:val="32"/>
        </w:rPr>
        <w:t>建立重大工程项目建设和重大政策制定社会稳定风险评估机制，坚持“应评尽评”原则，规范重大事项社会稳定风险评估工作。完善调解、仲裁、行政裁决、行政复议、诉讼等有机衔接、相互协调的多元化纠纷解决机制。加强行政复议规范化建设，健全行政复议机构，整合行政复议资源，提高行政复议的权威性和公信力。完善仲裁制度，提高仲裁公信力。建立科学有效的利益协调机制、诉求表达机制、矛盾调处机制和权益保障机制，健全人民调解、行政调解、司法调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三调联动”</w:t>
      </w:r>
      <w:r>
        <w:rPr>
          <w:rFonts w:hint="eastAsia" w:ascii="仿宋_GB2312" w:hAnsi="仿宋_GB2312" w:eastAsia="仿宋_GB2312" w:cs="仿宋_GB2312"/>
          <w:sz w:val="32"/>
          <w:szCs w:val="32"/>
        </w:rPr>
        <w:t>工作体系，及时化解社会矛盾纠纷。坚持运用法治思维和法治方式化解矛盾、解决问题。</w:t>
      </w:r>
    </w:p>
    <w:p>
      <w:pPr>
        <w:pageBreakBefore w:val="0"/>
        <w:kinsoku/>
        <w:wordWrap/>
        <w:overflowPunct w:val="0"/>
        <w:topLinePunct w:val="0"/>
        <w:bidi w:val="0"/>
        <w:ind w:right="0" w:righ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推进信访法治化。</w:t>
      </w:r>
      <w:r>
        <w:rPr>
          <w:rFonts w:hint="eastAsia" w:ascii="仿宋_GB2312" w:hAnsi="仿宋_GB2312" w:eastAsia="仿宋_GB2312" w:cs="仿宋_GB2312"/>
          <w:sz w:val="32"/>
          <w:szCs w:val="32"/>
        </w:rPr>
        <w:t>全方位落实信访工作法治化要求，积极把信访纳入法制化轨道，全面推行阳光信访、法治信访，提升信访工作整体效能，推进政府依法处置、部门有效衔</w:t>
      </w:r>
      <w:r>
        <w:rPr>
          <w:rFonts w:hint="eastAsia" w:ascii="仿宋_GB2312" w:hAnsi="仿宋_GB2312" w:eastAsia="仿宋_GB2312" w:cs="仿宋_GB2312"/>
          <w:sz w:val="32"/>
          <w:szCs w:val="32"/>
          <w:lang w:eastAsia="zh-CN"/>
        </w:rPr>
        <w:t>接</w:t>
      </w:r>
      <w:r>
        <w:rPr>
          <w:rFonts w:hint="eastAsia" w:ascii="仿宋_GB2312" w:hAnsi="仿宋_GB2312" w:eastAsia="仿宋_GB2312" w:cs="仿宋_GB2312"/>
          <w:sz w:val="32"/>
          <w:szCs w:val="32"/>
        </w:rPr>
        <w:t>、群众依法信访，实现初次信访事项100%转送交办、受理告知。加强初信初访办理，综合运用政治、经济、法律、行政、教育等手段，及时就地解决群众合理合法诉求。引导来访群众依法逐级信访，理性维权，积极规范信访秩序。</w:t>
      </w:r>
    </w:p>
    <w:p>
      <w:pPr>
        <w:pageBreakBefore w:val="0"/>
        <w:kinsoku/>
        <w:wordWrap/>
        <w:overflowPunct w:val="0"/>
        <w:topLinePunct w:val="0"/>
        <w:bidi w:val="0"/>
        <w:ind w:right="0" w:rightChars="0" w:firstLine="640" w:firstLineChars="200"/>
        <w:rPr>
          <w:rFonts w:hint="eastAsia" w:ascii="仿宋_GB2312" w:hAnsi="仿宋_GB2312" w:eastAsia="仿宋_GB2312" w:cs="仿宋_GB2312"/>
          <w:sz w:val="32"/>
          <w:szCs w:val="32"/>
        </w:rPr>
      </w:pPr>
    </w:p>
    <w:p>
      <w:pPr>
        <w:pStyle w:val="2"/>
        <w:keepNext/>
        <w:keepLines/>
        <w:pageBreakBefore w:val="0"/>
        <w:widowControl w:val="0"/>
        <w:kinsoku/>
        <w:wordWrap/>
        <w:overflowPunct/>
        <w:topLinePunct w:val="0"/>
        <w:autoSpaceDE/>
        <w:autoSpaceDN/>
        <w:bidi w:val="0"/>
        <w:adjustRightInd/>
        <w:snapToGrid/>
        <w:spacing w:before="340" w:beforeLines="0" w:after="0" w:afterLines="0" w:line="240" w:lineRule="exact"/>
        <w:ind w:left="0" w:leftChars="0" w:right="0" w:rightChars="0" w:firstLine="0" w:firstLineChars="0"/>
        <w:jc w:val="center"/>
        <w:textAlignment w:val="auto"/>
        <w:outlineLvl w:val="0"/>
        <w:rPr>
          <w:rFonts w:hint="eastAsia"/>
        </w:rPr>
      </w:pPr>
    </w:p>
    <w:p>
      <w:pPr>
        <w:pStyle w:val="2"/>
        <w:keepNext/>
        <w:keepLines/>
        <w:pageBreakBefore w:val="0"/>
        <w:widowControl w:val="0"/>
        <w:kinsoku/>
        <w:wordWrap/>
        <w:overflowPunct/>
        <w:topLinePunct w:val="0"/>
        <w:autoSpaceDE/>
        <w:autoSpaceDN/>
        <w:bidi w:val="0"/>
        <w:adjustRightInd/>
        <w:snapToGrid/>
        <w:spacing w:before="240" w:beforeLines="0" w:after="157" w:afterLines="50" w:line="240" w:lineRule="exact"/>
        <w:ind w:left="0" w:leftChars="0" w:right="0" w:rightChars="0" w:firstLine="0" w:firstLineChars="0"/>
        <w:jc w:val="center"/>
        <w:textAlignment w:val="auto"/>
        <w:outlineLvl w:val="0"/>
        <w:rPr>
          <w:rFonts w:hint="eastAsia"/>
        </w:rPr>
      </w:pPr>
      <w:bookmarkStart w:id="42" w:name="_Toc8643"/>
      <w:r>
        <w:rPr>
          <w:rFonts w:hint="eastAsia"/>
        </w:rPr>
        <w:t>第八章  强化规划实施　确保实现发展蓝图</w:t>
      </w:r>
      <w:bookmarkEnd w:id="42"/>
    </w:p>
    <w:p>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eastAsia="仿宋_GB2312"/>
          <w:sz w:val="24"/>
          <w:szCs w:val="24"/>
        </w:rPr>
      </w:pP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建立健全规划实施机制，推进望花区国民经济和社会发展第十三个五年规划编制和实施。</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rPr>
        <w:t>建立健全责任体系。</w:t>
      </w:r>
      <w:r>
        <w:rPr>
          <w:rFonts w:hint="eastAsia" w:ascii="仿宋_GB2312" w:eastAsia="仿宋_GB2312"/>
          <w:sz w:val="32"/>
          <w:szCs w:val="32"/>
        </w:rPr>
        <w:t>“十三五”规划纲要关系到望花区经济和社会发展，各街（镇、园区）和政府部门要根据规划内容逐项加以落实，建立分工责任制，健全规划纲要实施机制，形成党（工）委领导、人大监督、政府实施、社会广泛参与的工作格局。</w:t>
      </w:r>
    </w:p>
    <w:p>
      <w:pPr>
        <w:pageBreakBefore w:val="0"/>
        <w:kinsoku/>
        <w:wordWrap/>
        <w:overflowPunct w:val="0"/>
        <w:topLinePunct w:val="0"/>
        <w:bidi w:val="0"/>
        <w:ind w:right="0" w:rightChars="0" w:firstLine="640" w:firstLineChars="200"/>
        <w:rPr>
          <w:rFonts w:hint="eastAsia" w:ascii="仿宋_GB2312" w:eastAsia="仿宋_GB2312"/>
          <w:sz w:val="32"/>
          <w:szCs w:val="32"/>
        </w:rPr>
      </w:pPr>
      <w:r>
        <w:rPr>
          <w:rFonts w:hint="eastAsia" w:ascii="仿宋_GB2312" w:eastAsia="仿宋_GB2312"/>
          <w:b/>
          <w:bCs/>
          <w:sz w:val="32"/>
          <w:szCs w:val="32"/>
        </w:rPr>
        <w:t>完善衔接协作机制。</w:t>
      </w:r>
      <w:r>
        <w:rPr>
          <w:rFonts w:hint="eastAsia" w:ascii="仿宋_GB2312" w:eastAsia="仿宋_GB2312"/>
          <w:sz w:val="32"/>
          <w:szCs w:val="32"/>
        </w:rPr>
        <w:t>全区上下要切实加强区域规划、专项规划与总体规划之间，以及各规划之间的衔接平衡，确保各级各类规划确定的发展目标、重大基础设施建设、产业布局、重要资源开发、政府财力投资等，在规划保持一致，通过在空间和时序上的科学合理安排，提高规划的管理水平和实施成效。</w:t>
      </w:r>
    </w:p>
    <w:tbl>
      <w:tblPr>
        <w:tblStyle w:val="12"/>
        <w:tblW w:w="88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8" w:hRule="atLeast"/>
        </w:trPr>
        <w:tc>
          <w:tcPr>
            <w:tcW w:w="8820" w:type="dxa"/>
            <w:vAlign w:val="center"/>
          </w:tcPr>
          <w:p>
            <w:pPr>
              <w:keepNext w:val="0"/>
              <w:keepLines w:val="0"/>
              <w:pageBreakBefore w:val="0"/>
              <w:widowControl w:val="0"/>
              <w:kinsoku/>
              <w:wordWrap/>
              <w:overflowPunct w:val="0"/>
              <w:topLinePunct w:val="0"/>
              <w:autoSpaceDE/>
              <w:autoSpaceDN/>
              <w:bidi w:val="0"/>
              <w:adjustRightInd/>
              <w:snapToGrid w:val="0"/>
              <w:spacing w:before="157" w:beforeLines="50" w:line="360" w:lineRule="auto"/>
              <w:ind w:left="0" w:leftChars="0" w:right="0" w:rightChars="0" w:firstLine="0" w:firstLineChars="0"/>
              <w:jc w:val="center"/>
              <w:textAlignment w:val="auto"/>
              <w:outlineLvl w:val="9"/>
              <w:rPr>
                <w:rFonts w:hint="eastAsia" w:ascii="宋体" w:hAnsi="宋体" w:eastAsia="宋体" w:cs="宋体"/>
                <w:color w:val="auto"/>
                <w:sz w:val="24"/>
                <w:szCs w:val="24"/>
              </w:rPr>
            </w:pPr>
            <w:r>
              <w:rPr>
                <w:rFonts w:hint="eastAsia" w:ascii="宋体" w:hAnsi="宋体" w:eastAsia="宋体" w:cs="宋体"/>
                <w:b/>
                <w:bCs/>
                <w:color w:val="auto"/>
                <w:sz w:val="28"/>
                <w:szCs w:val="28"/>
              </w:rPr>
              <w:t>专栏</w:t>
            </w:r>
            <w:r>
              <w:rPr>
                <w:rFonts w:hint="eastAsia" w:ascii="宋体" w:hAnsi="宋体" w:cs="宋体"/>
                <w:b/>
                <w:bCs/>
                <w:color w:val="auto"/>
                <w:sz w:val="28"/>
                <w:szCs w:val="28"/>
                <w:lang w:eastAsia="zh-CN"/>
              </w:rPr>
              <w:t>十一：</w:t>
            </w:r>
            <w:r>
              <w:rPr>
                <w:rFonts w:hint="eastAsia" w:ascii="宋体" w:hAnsi="宋体" w:eastAsia="宋体" w:cs="宋体"/>
                <w:b/>
                <w:bCs/>
                <w:color w:val="auto"/>
                <w:sz w:val="28"/>
                <w:szCs w:val="28"/>
              </w:rPr>
              <w:t>重点专项规划目录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6" w:hRule="atLeast"/>
        </w:trPr>
        <w:tc>
          <w:tcPr>
            <w:tcW w:w="8820" w:type="dxa"/>
            <w:vAlign w:val="center"/>
          </w:tcPr>
          <w:p>
            <w:pPr>
              <w:pageBreakBefore w:val="0"/>
              <w:kinsoku/>
              <w:wordWrap/>
              <w:overflowPunct w:val="0"/>
              <w:topLinePunct w:val="0"/>
              <w:bidi w:val="0"/>
              <w:snapToGrid w:val="0"/>
              <w:spacing w:line="360" w:lineRule="auto"/>
              <w:ind w:right="0" w:rightChars="0"/>
              <w:jc w:val="left"/>
              <w:rPr>
                <w:rFonts w:hint="eastAsia" w:ascii="宋体" w:hAnsi="宋体" w:eastAsia="宋体" w:cs="宋体"/>
                <w:color w:val="auto"/>
                <w:sz w:val="24"/>
                <w:szCs w:val="24"/>
              </w:rPr>
            </w:pPr>
            <w:r>
              <w:rPr>
                <w:rFonts w:hint="eastAsia" w:ascii="宋体" w:hAnsi="宋体" w:eastAsia="宋体" w:cs="宋体"/>
                <w:color w:val="auto"/>
                <w:sz w:val="24"/>
                <w:szCs w:val="24"/>
              </w:rPr>
              <w:t>1．望花经济开发区发展规划；2．城区老工业企业搬迁改造规划</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．西部服务业集聚区建设规划；</w:t>
            </w: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．工业、信息化和非公有制经济发展规划；</w:t>
            </w: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．教育事业发展规划；</w:t>
            </w:r>
            <w:r>
              <w:rPr>
                <w:rFonts w:hint="eastAsia" w:ascii="宋体" w:hAnsi="宋体" w:cs="宋体"/>
                <w:color w:val="auto"/>
                <w:sz w:val="24"/>
                <w:szCs w:val="24"/>
                <w:lang w:val="en-US" w:eastAsia="zh-CN"/>
              </w:rPr>
              <w:t>6</w:t>
            </w:r>
            <w:r>
              <w:rPr>
                <w:rFonts w:hint="eastAsia" w:ascii="宋体" w:hAnsi="宋体" w:eastAsia="宋体" w:cs="宋体"/>
                <w:color w:val="auto"/>
                <w:sz w:val="24"/>
                <w:szCs w:val="24"/>
              </w:rPr>
              <w:t>．科技创新发展规划；</w:t>
            </w:r>
            <w:r>
              <w:rPr>
                <w:rFonts w:hint="eastAsia" w:ascii="宋体" w:hAnsi="宋体" w:cs="宋体"/>
                <w:color w:val="auto"/>
                <w:sz w:val="24"/>
                <w:szCs w:val="24"/>
                <w:lang w:val="en-US" w:eastAsia="zh-CN"/>
              </w:rPr>
              <w:t>7</w:t>
            </w:r>
            <w:r>
              <w:rPr>
                <w:rFonts w:hint="eastAsia" w:ascii="宋体" w:hAnsi="宋体" w:eastAsia="宋体" w:cs="宋体"/>
                <w:color w:val="auto"/>
                <w:sz w:val="24"/>
                <w:szCs w:val="24"/>
              </w:rPr>
              <w:t>．民政事业发展规划；</w:t>
            </w:r>
            <w:r>
              <w:rPr>
                <w:rFonts w:hint="eastAsia" w:ascii="宋体" w:hAnsi="宋体" w:cs="宋体"/>
                <w:color w:val="auto"/>
                <w:sz w:val="24"/>
                <w:szCs w:val="24"/>
                <w:lang w:val="en-US" w:eastAsia="zh-CN"/>
              </w:rPr>
              <w:t>8</w:t>
            </w:r>
            <w:r>
              <w:rPr>
                <w:rFonts w:hint="eastAsia" w:ascii="宋体" w:hAnsi="宋体" w:eastAsia="宋体" w:cs="宋体"/>
                <w:color w:val="auto"/>
                <w:sz w:val="24"/>
                <w:szCs w:val="24"/>
              </w:rPr>
              <w:t>．法制规划；</w:t>
            </w:r>
            <w:r>
              <w:rPr>
                <w:rFonts w:hint="eastAsia" w:ascii="宋体" w:hAnsi="宋体" w:cs="宋体"/>
                <w:color w:val="auto"/>
                <w:sz w:val="24"/>
                <w:szCs w:val="24"/>
                <w:lang w:val="en-US" w:eastAsia="zh-CN"/>
              </w:rPr>
              <w:t>9</w:t>
            </w:r>
            <w:r>
              <w:rPr>
                <w:rFonts w:hint="eastAsia" w:ascii="宋体" w:hAnsi="宋体" w:eastAsia="宋体" w:cs="宋体"/>
                <w:color w:val="auto"/>
                <w:sz w:val="24"/>
                <w:szCs w:val="24"/>
              </w:rPr>
              <w:t>．人力资源和社会保障事业发展规划；</w:t>
            </w:r>
            <w:r>
              <w:rPr>
                <w:rFonts w:hint="eastAsia" w:ascii="宋体" w:hAnsi="宋体" w:cs="宋体"/>
                <w:color w:val="auto"/>
                <w:sz w:val="24"/>
                <w:szCs w:val="24"/>
                <w:lang w:val="en-US" w:eastAsia="zh-CN"/>
              </w:rPr>
              <w:t>10</w:t>
            </w:r>
            <w:r>
              <w:rPr>
                <w:rFonts w:hint="eastAsia" w:ascii="宋体" w:hAnsi="宋体" w:eastAsia="宋体" w:cs="宋体"/>
                <w:color w:val="auto"/>
                <w:sz w:val="24"/>
                <w:szCs w:val="24"/>
              </w:rPr>
              <w:t>．住房和城乡建设规划；1</w:t>
            </w:r>
            <w:r>
              <w:rPr>
                <w:rFonts w:hint="eastAsia" w:ascii="宋体" w:hAnsi="宋体" w:cs="宋体"/>
                <w:color w:val="auto"/>
                <w:sz w:val="24"/>
                <w:szCs w:val="24"/>
                <w:lang w:val="en-US" w:eastAsia="zh-CN"/>
              </w:rPr>
              <w:t>1</w:t>
            </w:r>
            <w:r>
              <w:rPr>
                <w:rFonts w:hint="eastAsia" w:ascii="宋体" w:hAnsi="宋体" w:eastAsia="宋体" w:cs="宋体"/>
                <w:color w:val="auto"/>
                <w:sz w:val="24"/>
                <w:szCs w:val="24"/>
              </w:rPr>
              <w:t>．农业和农村发展规划；1</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．服务业发展规划；1</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．文化体育事业发展规划；1</w:t>
            </w: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．人口和卫生医疗服务体系建设发展规划；1</w:t>
            </w: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．食品药品安全规划；1</w:t>
            </w:r>
            <w:r>
              <w:rPr>
                <w:rFonts w:hint="eastAsia" w:ascii="宋体" w:hAnsi="宋体" w:cs="宋体"/>
                <w:color w:val="auto"/>
                <w:sz w:val="24"/>
                <w:szCs w:val="24"/>
                <w:lang w:val="en-US" w:eastAsia="zh-CN"/>
              </w:rPr>
              <w:t>6</w:t>
            </w:r>
            <w:r>
              <w:rPr>
                <w:rFonts w:hint="eastAsia" w:ascii="宋体" w:hAnsi="宋体" w:eastAsia="宋体" w:cs="宋体"/>
                <w:color w:val="auto"/>
                <w:sz w:val="24"/>
                <w:szCs w:val="24"/>
              </w:rPr>
              <w:t>．安全生产规划；1</w:t>
            </w:r>
            <w:r>
              <w:rPr>
                <w:rFonts w:hint="eastAsia" w:ascii="宋体" w:hAnsi="宋体" w:cs="宋体"/>
                <w:color w:val="auto"/>
                <w:sz w:val="24"/>
                <w:szCs w:val="24"/>
                <w:lang w:val="en-US" w:eastAsia="zh-CN"/>
              </w:rPr>
              <w:t>7</w:t>
            </w:r>
            <w:r>
              <w:rPr>
                <w:rFonts w:hint="eastAsia" w:ascii="宋体" w:hAnsi="宋体" w:eastAsia="宋体" w:cs="宋体"/>
                <w:color w:val="auto"/>
                <w:sz w:val="24"/>
                <w:szCs w:val="24"/>
              </w:rPr>
              <w:t>．法治政府建设规划；1</w:t>
            </w:r>
            <w:r>
              <w:rPr>
                <w:rFonts w:hint="eastAsia" w:ascii="宋体" w:hAnsi="宋体" w:cs="宋体"/>
                <w:color w:val="auto"/>
                <w:sz w:val="24"/>
                <w:szCs w:val="24"/>
                <w:lang w:val="en-US" w:eastAsia="zh-CN"/>
              </w:rPr>
              <w:t>8</w:t>
            </w:r>
            <w:r>
              <w:rPr>
                <w:rFonts w:hint="eastAsia" w:ascii="宋体" w:hAnsi="宋体" w:eastAsia="宋体" w:cs="宋体"/>
                <w:color w:val="auto"/>
                <w:sz w:val="24"/>
                <w:szCs w:val="24"/>
              </w:rPr>
              <w:t>．旅游业发展规划；1</w:t>
            </w:r>
            <w:r>
              <w:rPr>
                <w:rFonts w:hint="eastAsia" w:ascii="宋体" w:hAnsi="宋体" w:cs="宋体"/>
                <w:color w:val="auto"/>
                <w:sz w:val="24"/>
                <w:szCs w:val="24"/>
                <w:lang w:val="en-US" w:eastAsia="zh-CN"/>
              </w:rPr>
              <w:t>9</w:t>
            </w:r>
            <w:r>
              <w:rPr>
                <w:rFonts w:hint="eastAsia" w:ascii="宋体" w:hAnsi="宋体" w:eastAsia="宋体" w:cs="宋体"/>
                <w:color w:val="auto"/>
                <w:sz w:val="24"/>
                <w:szCs w:val="24"/>
              </w:rPr>
              <w:t>．土地利用规划；</w:t>
            </w:r>
            <w:r>
              <w:rPr>
                <w:rFonts w:hint="eastAsia" w:ascii="宋体" w:hAnsi="宋体" w:cs="宋体"/>
                <w:color w:val="auto"/>
                <w:sz w:val="24"/>
                <w:szCs w:val="24"/>
                <w:lang w:val="en-US" w:eastAsia="zh-CN"/>
              </w:rPr>
              <w:t>20</w:t>
            </w:r>
            <w:r>
              <w:rPr>
                <w:rFonts w:hint="eastAsia" w:ascii="宋体" w:hAnsi="宋体" w:eastAsia="宋体" w:cs="宋体"/>
                <w:color w:val="auto"/>
                <w:sz w:val="24"/>
                <w:szCs w:val="24"/>
              </w:rPr>
              <w:t>．环境保护规划；2</w:t>
            </w:r>
            <w:r>
              <w:rPr>
                <w:rFonts w:hint="eastAsia" w:ascii="宋体" w:hAnsi="宋体" w:cs="宋体"/>
                <w:color w:val="auto"/>
                <w:sz w:val="24"/>
                <w:szCs w:val="24"/>
                <w:lang w:val="en-US" w:eastAsia="zh-CN"/>
              </w:rPr>
              <w:t>1</w:t>
            </w:r>
            <w:r>
              <w:rPr>
                <w:rFonts w:hint="eastAsia" w:ascii="宋体" w:hAnsi="宋体" w:eastAsia="宋体" w:cs="宋体"/>
                <w:color w:val="auto"/>
                <w:sz w:val="24"/>
                <w:szCs w:val="24"/>
              </w:rPr>
              <w:t>．社会安全规划；2</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．妇女儿童事业发展规划；2</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．残疾人小康建设规划</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24.</w:t>
            </w:r>
            <w:r>
              <w:rPr>
                <w:rFonts w:hint="eastAsia" w:ascii="宋体" w:hAnsi="宋体" w:cs="宋体"/>
                <w:color w:val="auto"/>
                <w:sz w:val="24"/>
                <w:szCs w:val="24"/>
                <w:lang w:eastAsia="zh-CN"/>
              </w:rPr>
              <w:t>对外开放规划；</w:t>
            </w:r>
            <w:r>
              <w:rPr>
                <w:rFonts w:hint="eastAsia" w:ascii="宋体" w:hAnsi="宋体" w:cs="宋体"/>
                <w:color w:val="auto"/>
                <w:sz w:val="24"/>
                <w:szCs w:val="24"/>
                <w:lang w:val="en-US" w:eastAsia="zh-CN"/>
              </w:rPr>
              <w:t>25电子商务产业发展规划。</w:t>
            </w:r>
          </w:p>
        </w:tc>
      </w:tr>
    </w:tbl>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lang w:val="en-US" w:eastAsia="zh-CN"/>
        </w:rPr>
        <w:t xml:space="preserve"> </w:t>
      </w:r>
      <w:r>
        <w:rPr>
          <w:rFonts w:hint="eastAsia" w:ascii="仿宋_GB2312" w:eastAsia="仿宋_GB2312"/>
          <w:b/>
          <w:bCs/>
          <w:sz w:val="32"/>
          <w:szCs w:val="32"/>
        </w:rPr>
        <w:t>突出重大项目引领。</w:t>
      </w:r>
      <w:r>
        <w:rPr>
          <w:rFonts w:hint="eastAsia" w:ascii="仿宋_GB2312" w:eastAsia="仿宋_GB2312"/>
          <w:sz w:val="32"/>
          <w:szCs w:val="32"/>
        </w:rPr>
        <w:t>依据规划，引进一批具有高新技术含量的规模企业，建设一批关系全局和对长远发展有重大影响的重大基础设施项目和重大产业项目，安排好一批改善城乡居民生活、促进全面发展的社会事业项目和基础设施建设项目，增强可持续发展能力，让人民群众得到更多实惠。</w:t>
      </w:r>
    </w:p>
    <w:p>
      <w:pPr>
        <w:pageBreakBefore w:val="0"/>
        <w:kinsoku/>
        <w:wordWrap/>
        <w:overflowPunct w:val="0"/>
        <w:topLinePunct w:val="0"/>
        <w:bidi w:val="0"/>
        <w:ind w:right="0" w:rightChars="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b/>
          <w:bCs/>
          <w:sz w:val="32"/>
          <w:szCs w:val="32"/>
        </w:rPr>
        <w:t>实施规划定期评估。</w:t>
      </w:r>
      <w:r>
        <w:rPr>
          <w:rFonts w:hint="eastAsia" w:ascii="仿宋_GB2312" w:eastAsia="仿宋_GB2312"/>
          <w:sz w:val="32"/>
          <w:szCs w:val="32"/>
        </w:rPr>
        <w:t>规划实施一段时期后，要围绕规划提出的主要目标、重点任务和政策措施，组织开展实施情况的评估，全面分析检查规划实施效果及各项政策落实情况，加强对风险和不确定性的研究，推动规划有效实施。经中期评估需要对本规划进行修订时，报区人大常委会批准。</w:t>
      </w:r>
    </w:p>
    <w:p>
      <w:pPr>
        <w:pageBreakBefore w:val="0"/>
        <w:kinsoku/>
        <w:wordWrap/>
        <w:overflowPunct w:val="0"/>
        <w:topLinePunct w:val="0"/>
        <w:bidi w:val="0"/>
        <w:ind w:right="0" w:rightChars="0" w:firstLine="640" w:firstLineChars="200"/>
        <w:rPr>
          <w:rFonts w:hint="eastAsia" w:ascii="仿宋_GB2312" w:eastAsia="仿宋_GB2312"/>
          <w:sz w:val="32"/>
          <w:szCs w:val="32"/>
        </w:rPr>
      </w:pPr>
      <w:r>
        <w:rPr>
          <w:rFonts w:hint="eastAsia" w:ascii="仿宋_GB2312" w:eastAsia="仿宋_GB2312"/>
          <w:b/>
          <w:bCs/>
          <w:sz w:val="32"/>
          <w:szCs w:val="32"/>
        </w:rPr>
        <w:t>加强实施信息公开。</w:t>
      </w:r>
      <w:r>
        <w:rPr>
          <w:rFonts w:hint="eastAsia" w:ascii="仿宋_GB2312" w:eastAsia="仿宋_GB2312"/>
          <w:sz w:val="32"/>
          <w:szCs w:val="32"/>
        </w:rPr>
        <w:t>建立健全重大事项报告制度，定期将规划目标和主要任务的实施情况向区委汇报，向区人大常委会报告，向区政协常委会通报。做好规划及相关信息的公开工作。面向社会和广大群众广泛宣传规划，不断提高公众规划意识，让更多的社会公众通过法定程序和渠道参与规划的实施和监督，在全社会形成共同参与规划实施和依规划办事的良好氛围。</w:t>
      </w:r>
    </w:p>
    <w:p>
      <w:pPr>
        <w:pageBreakBefore w:val="0"/>
        <w:kinsoku/>
        <w:wordWrap/>
        <w:overflowPunct w:val="0"/>
        <w:topLinePunct w:val="0"/>
        <w:bidi w:val="0"/>
        <w:ind w:right="0" w:rightChars="0" w:firstLine="640" w:firstLineChars="200"/>
        <w:rPr>
          <w:rFonts w:hint="eastAsia" w:ascii="仿宋_GB2312" w:eastAsia="仿宋_GB2312"/>
          <w:sz w:val="32"/>
          <w:szCs w:val="32"/>
        </w:rPr>
      </w:pPr>
    </w:p>
    <w:p>
      <w:pPr>
        <w:pageBreakBefore w:val="0"/>
        <w:kinsoku/>
        <w:wordWrap/>
        <w:overflowPunct w:val="0"/>
        <w:topLinePunct w:val="0"/>
        <w:bidi w:val="0"/>
        <w:ind w:right="0" w:rightChars="0" w:firstLine="640" w:firstLineChars="200"/>
        <w:rPr>
          <w:rFonts w:hint="eastAsia" w:ascii="仿宋_GB2312" w:eastAsia="仿宋_GB2312"/>
          <w:sz w:val="32"/>
          <w:szCs w:val="32"/>
        </w:rPr>
      </w:pPr>
    </w:p>
    <w:p>
      <w:pPr>
        <w:pageBreakBefore w:val="0"/>
        <w:kinsoku/>
        <w:wordWrap/>
        <w:overflowPunct w:val="0"/>
        <w:topLinePunct w:val="0"/>
        <w:bidi w:val="0"/>
        <w:ind w:right="0" w:rightChars="0" w:firstLine="640" w:firstLineChars="200"/>
        <w:rPr>
          <w:rFonts w:hint="eastAsia" w:ascii="仿宋_GB2312" w:eastAsia="仿宋_GB2312"/>
          <w:sz w:val="32"/>
          <w:szCs w:val="32"/>
        </w:rPr>
      </w:pPr>
    </w:p>
    <w:p>
      <w:pPr>
        <w:pageBreakBefore w:val="0"/>
        <w:kinsoku/>
        <w:wordWrap/>
        <w:overflowPunct w:val="0"/>
        <w:topLinePunct w:val="0"/>
        <w:bidi w:val="0"/>
        <w:ind w:right="0" w:rightChars="0" w:firstLine="640" w:firstLineChars="200"/>
        <w:rPr>
          <w:rFonts w:hint="eastAsia" w:ascii="仿宋_GB2312" w:eastAsia="仿宋_GB2312"/>
          <w:sz w:val="32"/>
          <w:szCs w:val="32"/>
        </w:rPr>
      </w:pPr>
    </w:p>
    <w:p>
      <w:pPr>
        <w:pageBreakBefore w:val="0"/>
        <w:kinsoku/>
        <w:wordWrap/>
        <w:overflowPunct w:val="0"/>
        <w:topLinePunct w:val="0"/>
        <w:bidi w:val="0"/>
        <w:ind w:right="0" w:rightChars="0" w:firstLine="640" w:firstLineChars="200"/>
        <w:rPr>
          <w:rFonts w:hint="eastAsia" w:ascii="仿宋_GB2312" w:eastAsia="仿宋_GB2312"/>
          <w:sz w:val="32"/>
          <w:szCs w:val="32"/>
        </w:rPr>
      </w:pPr>
    </w:p>
    <w:p>
      <w:pPr>
        <w:rPr>
          <w:rFonts w:hint="eastAsia" w:ascii="黑体" w:hAnsi="黑体" w:eastAsia="黑体" w:cs="黑体"/>
          <w:sz w:val="32"/>
          <w:szCs w:val="32"/>
          <w:lang w:eastAsia="zh-CN"/>
        </w:rPr>
      </w:pPr>
      <w:r>
        <w:rPr>
          <w:rFonts w:hint="eastAsia" w:ascii="黑体" w:hAnsi="黑体" w:eastAsia="黑体" w:cs="黑体"/>
          <w:sz w:val="32"/>
          <w:szCs w:val="32"/>
          <w:lang w:eastAsia="zh-CN"/>
        </w:rPr>
        <w:t>名词解释：</w:t>
      </w:r>
    </w:p>
    <w:p>
      <w:pPr>
        <w:rPr>
          <w:rFonts w:hint="eastAsia" w:ascii="楷体" w:hAnsi="楷体" w:eastAsia="楷体" w:cs="楷体"/>
          <w:sz w:val="28"/>
          <w:szCs w:val="28"/>
          <w:lang w:val="en-US" w:eastAsia="zh-CN"/>
        </w:rPr>
      </w:pPr>
      <w:r>
        <w:rPr>
          <w:rFonts w:hint="eastAsia" w:ascii="楷体" w:hAnsi="楷体" w:eastAsia="楷体" w:cs="楷体"/>
          <w:b/>
          <w:bCs/>
          <w:sz w:val="28"/>
          <w:szCs w:val="28"/>
          <w:lang w:val="en-US" w:eastAsia="zh-CN"/>
        </w:rPr>
        <w:t xml:space="preserve">    1、“新常态”：</w:t>
      </w:r>
      <w:r>
        <w:rPr>
          <w:rFonts w:hint="eastAsia" w:ascii="楷体" w:hAnsi="楷体" w:eastAsia="楷体" w:cs="楷体"/>
          <w:b w:val="0"/>
          <w:bCs w:val="0"/>
          <w:sz w:val="28"/>
          <w:szCs w:val="28"/>
          <w:lang w:val="en-US" w:eastAsia="zh-CN"/>
        </w:rPr>
        <w:t>一是增长速度从高速增长向中高速增长换挡。二是结构调整从结构失衡到优化再平衡。三是宏观政策保持政策定力，消化前期刺激政策，从总量宽松、粗放刺激转向总量稳定、结构优化。</w:t>
      </w:r>
    </w:p>
    <w:p>
      <w:pPr>
        <w:rPr>
          <w:rFonts w:hint="eastAsia" w:ascii="楷体" w:hAnsi="楷体" w:eastAsia="楷体" w:cs="楷体"/>
          <w:b/>
          <w:bCs/>
          <w:sz w:val="28"/>
          <w:szCs w:val="28"/>
        </w:rPr>
      </w:pPr>
      <w:r>
        <w:rPr>
          <w:rFonts w:hint="eastAsia" w:ascii="楷体" w:hAnsi="楷体" w:eastAsia="楷体" w:cs="楷体"/>
          <w:b/>
          <w:bCs/>
          <w:sz w:val="28"/>
          <w:szCs w:val="28"/>
          <w:lang w:val="en-US" w:eastAsia="zh-CN"/>
        </w:rPr>
        <w:t xml:space="preserve">    2、</w:t>
      </w:r>
      <w:r>
        <w:rPr>
          <w:rFonts w:hint="eastAsia" w:ascii="楷体" w:hAnsi="楷体" w:eastAsia="楷体" w:cs="楷体"/>
          <w:b/>
          <w:bCs/>
          <w:sz w:val="28"/>
          <w:szCs w:val="28"/>
        </w:rPr>
        <w:t>互联网+</w:t>
      </w:r>
      <w:r>
        <w:rPr>
          <w:rFonts w:hint="eastAsia" w:ascii="楷体" w:hAnsi="楷体" w:eastAsia="楷体" w:cs="楷体"/>
          <w:b/>
          <w:bCs/>
          <w:sz w:val="28"/>
          <w:szCs w:val="28"/>
          <w:lang w:eastAsia="zh-CN"/>
        </w:rPr>
        <w:t>：</w:t>
      </w:r>
      <w:r>
        <w:rPr>
          <w:rFonts w:hint="eastAsia" w:ascii="楷体" w:hAnsi="楷体" w:eastAsia="楷体" w:cs="楷体"/>
          <w:b w:val="0"/>
          <w:bCs w:val="0"/>
          <w:sz w:val="28"/>
          <w:szCs w:val="28"/>
          <w:lang w:eastAsia="zh-CN"/>
        </w:rPr>
        <w:t>通俗来说，“互联网+”就是“互联网+各个传统行业”，但这并不是简单的两者相加，而是利用信息通信技术以及互联网平台，让互联网与传统行业进行深度融合，创造新的发展生态。2015年3月5日上午十二届全国人大三次会议上，</w:t>
      </w:r>
      <w:r>
        <w:rPr>
          <w:rFonts w:hint="eastAsia" w:ascii="楷体" w:hAnsi="楷体" w:eastAsia="楷体" w:cs="楷体"/>
          <w:b w:val="0"/>
          <w:bCs w:val="0"/>
          <w:sz w:val="28"/>
          <w:szCs w:val="28"/>
          <w:lang w:eastAsia="zh-CN"/>
        </w:rPr>
        <w:fldChar w:fldCharType="begin"/>
      </w:r>
      <w:r>
        <w:rPr>
          <w:rFonts w:hint="eastAsia" w:ascii="楷体" w:hAnsi="楷体" w:eastAsia="楷体" w:cs="楷体"/>
          <w:b w:val="0"/>
          <w:bCs w:val="0"/>
          <w:sz w:val="28"/>
          <w:szCs w:val="28"/>
          <w:lang w:eastAsia="zh-CN"/>
        </w:rPr>
        <w:instrText xml:space="preserve"> HYPERLINK "http://baike.baidu.com/view/34021.htm" \t "http://baike.baidu.com/_blank" </w:instrText>
      </w:r>
      <w:r>
        <w:rPr>
          <w:rFonts w:hint="eastAsia" w:ascii="楷体" w:hAnsi="楷体" w:eastAsia="楷体" w:cs="楷体"/>
          <w:b w:val="0"/>
          <w:bCs w:val="0"/>
          <w:sz w:val="28"/>
          <w:szCs w:val="28"/>
          <w:lang w:eastAsia="zh-CN"/>
        </w:rPr>
        <w:fldChar w:fldCharType="separate"/>
      </w:r>
      <w:r>
        <w:rPr>
          <w:rFonts w:hint="eastAsia" w:ascii="楷体" w:hAnsi="楷体" w:eastAsia="楷体" w:cs="楷体"/>
          <w:b w:val="0"/>
          <w:bCs w:val="0"/>
          <w:sz w:val="28"/>
          <w:szCs w:val="28"/>
          <w:lang w:eastAsia="zh-CN"/>
        </w:rPr>
        <w:t>李克强</w:t>
      </w:r>
      <w:r>
        <w:rPr>
          <w:rFonts w:hint="eastAsia" w:ascii="楷体" w:hAnsi="楷体" w:eastAsia="楷体" w:cs="楷体"/>
          <w:b w:val="0"/>
          <w:bCs w:val="0"/>
          <w:sz w:val="28"/>
          <w:szCs w:val="28"/>
          <w:lang w:eastAsia="zh-CN"/>
        </w:rPr>
        <w:fldChar w:fldCharType="end"/>
      </w:r>
      <w:r>
        <w:rPr>
          <w:rFonts w:hint="eastAsia" w:ascii="楷体" w:hAnsi="楷体" w:eastAsia="楷体" w:cs="楷体"/>
          <w:b w:val="0"/>
          <w:bCs w:val="0"/>
          <w:sz w:val="28"/>
          <w:szCs w:val="28"/>
          <w:lang w:eastAsia="zh-CN"/>
        </w:rPr>
        <w:t>总理在政府工作报告中首次提出“互联网+”行动计划。</w:t>
      </w:r>
    </w:p>
    <w:p>
      <w:pPr>
        <w:rPr>
          <w:rFonts w:hint="eastAsia" w:ascii="楷体" w:hAnsi="楷体" w:eastAsia="楷体" w:cs="楷体"/>
          <w:sz w:val="28"/>
          <w:szCs w:val="28"/>
        </w:rPr>
      </w:pPr>
      <w:r>
        <w:rPr>
          <w:rFonts w:hint="eastAsia" w:ascii="楷体" w:hAnsi="楷体" w:eastAsia="楷体" w:cs="楷体"/>
          <w:b/>
          <w:bCs/>
          <w:sz w:val="28"/>
          <w:szCs w:val="28"/>
          <w:lang w:val="en-US" w:eastAsia="zh-CN"/>
        </w:rPr>
        <w:t xml:space="preserve">    3、</w:t>
      </w:r>
      <w:r>
        <w:rPr>
          <w:rFonts w:hint="eastAsia" w:ascii="楷体" w:hAnsi="楷体" w:eastAsia="楷体" w:cs="楷体"/>
          <w:b/>
          <w:bCs/>
          <w:sz w:val="28"/>
          <w:szCs w:val="28"/>
        </w:rPr>
        <w:t>大众创业、万众创新</w:t>
      </w:r>
      <w:r>
        <w:rPr>
          <w:rFonts w:hint="eastAsia" w:ascii="楷体" w:hAnsi="楷体" w:eastAsia="楷体" w:cs="楷体"/>
          <w:b/>
          <w:bCs/>
          <w:sz w:val="28"/>
          <w:szCs w:val="28"/>
          <w:lang w:eastAsia="zh-CN"/>
        </w:rPr>
        <w:t>：</w:t>
      </w:r>
      <w:r>
        <w:rPr>
          <w:rFonts w:hint="eastAsia" w:ascii="楷体" w:hAnsi="楷体" w:eastAsia="楷体" w:cs="楷体"/>
          <w:sz w:val="28"/>
          <w:szCs w:val="28"/>
          <w:lang w:eastAsia="zh-CN"/>
        </w:rPr>
        <w:t>李克强总理在</w:t>
      </w:r>
      <w:r>
        <w:rPr>
          <w:rFonts w:hint="eastAsia" w:ascii="楷体" w:hAnsi="楷体" w:eastAsia="楷体" w:cs="楷体"/>
          <w:sz w:val="28"/>
          <w:szCs w:val="28"/>
          <w:lang w:eastAsia="zh-CN"/>
        </w:rPr>
        <w:fldChar w:fldCharType="begin"/>
      </w:r>
      <w:r>
        <w:rPr>
          <w:rFonts w:hint="eastAsia" w:ascii="楷体" w:hAnsi="楷体" w:eastAsia="楷体" w:cs="楷体"/>
          <w:sz w:val="28"/>
          <w:szCs w:val="28"/>
          <w:lang w:eastAsia="zh-CN"/>
        </w:rPr>
        <w:instrText xml:space="preserve"> HYPERLINK "http://baike.baidu.com/view/82720.htm" \t "http://baike.baidu.com/_blank" </w:instrText>
      </w:r>
      <w:r>
        <w:rPr>
          <w:rFonts w:hint="eastAsia" w:ascii="楷体" w:hAnsi="楷体" w:eastAsia="楷体" w:cs="楷体"/>
          <w:sz w:val="28"/>
          <w:szCs w:val="28"/>
          <w:lang w:eastAsia="zh-CN"/>
        </w:rPr>
        <w:fldChar w:fldCharType="separate"/>
      </w:r>
      <w:r>
        <w:rPr>
          <w:rFonts w:hint="eastAsia" w:ascii="楷体" w:hAnsi="楷体" w:eastAsia="楷体" w:cs="楷体"/>
          <w:sz w:val="28"/>
          <w:szCs w:val="28"/>
          <w:lang w:eastAsia="zh-CN"/>
        </w:rPr>
        <w:t>政府工作报告</w:t>
      </w:r>
      <w:r>
        <w:rPr>
          <w:rFonts w:hint="eastAsia" w:ascii="楷体" w:hAnsi="楷体" w:eastAsia="楷体" w:cs="楷体"/>
          <w:sz w:val="28"/>
          <w:szCs w:val="28"/>
          <w:lang w:eastAsia="zh-CN"/>
        </w:rPr>
        <w:fldChar w:fldCharType="end"/>
      </w:r>
      <w:r>
        <w:rPr>
          <w:rFonts w:hint="eastAsia" w:ascii="楷体" w:hAnsi="楷体" w:eastAsia="楷体" w:cs="楷体"/>
          <w:sz w:val="28"/>
          <w:szCs w:val="28"/>
          <w:lang w:eastAsia="zh-CN"/>
        </w:rPr>
        <w:t>提出：推动大众创业、万众创新，“既可以扩大就业、增加居民收入，又有利于促进社会纵向流动和公平正义”。</w:t>
      </w:r>
    </w:p>
    <w:p>
      <w:pPr>
        <w:rPr>
          <w:rFonts w:hint="eastAsia" w:ascii="楷体" w:hAnsi="楷体" w:eastAsia="楷体" w:cs="楷体"/>
          <w:sz w:val="28"/>
          <w:szCs w:val="28"/>
        </w:rPr>
      </w:pPr>
      <w:r>
        <w:rPr>
          <w:rFonts w:hint="eastAsia" w:ascii="楷体" w:hAnsi="楷体" w:eastAsia="楷体" w:cs="楷体"/>
          <w:sz w:val="28"/>
          <w:szCs w:val="28"/>
          <w:lang w:val="en-US" w:eastAsia="zh-CN"/>
        </w:rPr>
        <w:t xml:space="preserve">   </w:t>
      </w:r>
      <w:r>
        <w:rPr>
          <w:rFonts w:hint="eastAsia" w:ascii="楷体" w:hAnsi="楷体" w:eastAsia="楷体" w:cs="楷体"/>
          <w:b/>
          <w:bCs/>
          <w:sz w:val="28"/>
          <w:szCs w:val="28"/>
          <w:lang w:val="en-US" w:eastAsia="zh-CN"/>
        </w:rPr>
        <w:t xml:space="preserve"> 4、</w:t>
      </w:r>
      <w:r>
        <w:rPr>
          <w:rFonts w:hint="eastAsia" w:ascii="楷体" w:hAnsi="楷体" w:eastAsia="楷体" w:cs="楷体"/>
          <w:b/>
          <w:bCs/>
          <w:sz w:val="28"/>
          <w:szCs w:val="28"/>
        </w:rPr>
        <w:t>一城两区</w:t>
      </w:r>
      <w:r>
        <w:rPr>
          <w:rFonts w:hint="eastAsia" w:ascii="楷体" w:hAnsi="楷体" w:eastAsia="楷体" w:cs="楷体"/>
          <w:b/>
          <w:bCs/>
          <w:sz w:val="28"/>
          <w:szCs w:val="28"/>
          <w:lang w:eastAsia="zh-CN"/>
        </w:rPr>
        <w:t>：</w:t>
      </w:r>
      <w:r>
        <w:rPr>
          <w:rFonts w:hint="eastAsia" w:ascii="楷体" w:hAnsi="楷体" w:eastAsia="楷体" w:cs="楷体"/>
          <w:sz w:val="28"/>
          <w:szCs w:val="28"/>
          <w:lang w:eastAsia="zh-CN"/>
        </w:rPr>
        <w:t>一城是推进旧城区更新改造，加强基础设施建设，完善城市功能，提升城市品质；两区是建设望花经济开发区和西部现代服务业集聚区。</w:t>
      </w:r>
    </w:p>
    <w:p>
      <w:pPr>
        <w:rPr>
          <w:rFonts w:hint="eastAsia" w:ascii="楷体" w:hAnsi="楷体" w:eastAsia="楷体" w:cs="楷体"/>
          <w:sz w:val="28"/>
          <w:szCs w:val="28"/>
        </w:rPr>
      </w:pPr>
      <w:r>
        <w:rPr>
          <w:rFonts w:hint="eastAsia" w:ascii="楷体" w:hAnsi="楷体" w:eastAsia="楷体" w:cs="楷体"/>
          <w:b/>
          <w:bCs/>
          <w:sz w:val="28"/>
          <w:szCs w:val="28"/>
          <w:lang w:val="en-US" w:eastAsia="zh-CN"/>
        </w:rPr>
        <w:t xml:space="preserve">   </w:t>
      </w:r>
      <w:r>
        <w:rPr>
          <w:rFonts w:hint="eastAsia" w:ascii="楷体" w:hAnsi="楷体" w:eastAsia="楷体" w:cs="楷体"/>
          <w:b w:val="0"/>
          <w:bCs w:val="0"/>
          <w:sz w:val="28"/>
          <w:szCs w:val="28"/>
          <w:lang w:val="en-US" w:eastAsia="zh-CN"/>
        </w:rPr>
        <w:t xml:space="preserve"> </w:t>
      </w:r>
      <w:r>
        <w:rPr>
          <w:rFonts w:hint="eastAsia" w:ascii="楷体" w:hAnsi="楷体" w:eastAsia="楷体" w:cs="楷体"/>
          <w:b/>
          <w:bCs/>
          <w:sz w:val="28"/>
          <w:szCs w:val="28"/>
          <w:lang w:val="en-US" w:eastAsia="zh-CN"/>
        </w:rPr>
        <w:t>5、</w:t>
      </w:r>
      <w:r>
        <w:rPr>
          <w:rFonts w:hint="eastAsia" w:ascii="楷体" w:hAnsi="楷体" w:eastAsia="楷体" w:cs="楷体"/>
          <w:b/>
          <w:bCs/>
          <w:sz w:val="28"/>
          <w:szCs w:val="28"/>
        </w:rPr>
        <w:t>四个全面</w:t>
      </w:r>
      <w:r>
        <w:rPr>
          <w:rFonts w:hint="eastAsia" w:ascii="楷体" w:hAnsi="楷体" w:eastAsia="楷体" w:cs="楷体"/>
          <w:b/>
          <w:bCs/>
          <w:sz w:val="28"/>
          <w:szCs w:val="28"/>
          <w:lang w:eastAsia="zh-CN"/>
        </w:rPr>
        <w:t>：</w:t>
      </w:r>
      <w:r>
        <w:rPr>
          <w:rFonts w:hint="eastAsia" w:ascii="楷体" w:hAnsi="楷体" w:eastAsia="楷体" w:cs="楷体"/>
          <w:sz w:val="28"/>
          <w:szCs w:val="28"/>
          <w:lang w:eastAsia="zh-CN"/>
        </w:rPr>
        <w:t>即</w:t>
      </w:r>
      <w:r>
        <w:rPr>
          <w:rFonts w:hint="eastAsia" w:ascii="楷体" w:hAnsi="楷体" w:eastAsia="楷体" w:cs="楷体"/>
          <w:sz w:val="28"/>
          <w:szCs w:val="28"/>
          <w:lang w:eastAsia="zh-CN"/>
        </w:rPr>
        <w:fldChar w:fldCharType="begin"/>
      </w:r>
      <w:r>
        <w:rPr>
          <w:rFonts w:hint="eastAsia" w:ascii="楷体" w:hAnsi="楷体" w:eastAsia="楷体" w:cs="楷体"/>
          <w:sz w:val="28"/>
          <w:szCs w:val="28"/>
          <w:lang w:eastAsia="zh-CN"/>
        </w:rPr>
        <w:instrText xml:space="preserve"> HYPERLINK "http://baike.baidu.com/view/9590584.htm" \t "http://baike.baidu.com/_blank" </w:instrText>
      </w:r>
      <w:r>
        <w:rPr>
          <w:rFonts w:hint="eastAsia" w:ascii="楷体" w:hAnsi="楷体" w:eastAsia="楷体" w:cs="楷体"/>
          <w:sz w:val="28"/>
          <w:szCs w:val="28"/>
          <w:lang w:eastAsia="zh-CN"/>
        </w:rPr>
        <w:fldChar w:fldCharType="separate"/>
      </w:r>
      <w:r>
        <w:rPr>
          <w:rFonts w:hint="eastAsia" w:ascii="楷体" w:hAnsi="楷体" w:eastAsia="楷体" w:cs="楷体"/>
          <w:sz w:val="28"/>
          <w:szCs w:val="28"/>
          <w:lang w:eastAsia="zh-CN"/>
        </w:rPr>
        <w:t>全面建成小康社会</w:t>
      </w:r>
      <w:r>
        <w:rPr>
          <w:rFonts w:hint="eastAsia" w:ascii="楷体" w:hAnsi="楷体" w:eastAsia="楷体" w:cs="楷体"/>
          <w:sz w:val="28"/>
          <w:szCs w:val="28"/>
          <w:lang w:eastAsia="zh-CN"/>
        </w:rPr>
        <w:fldChar w:fldCharType="end"/>
      </w:r>
      <w:r>
        <w:rPr>
          <w:rFonts w:hint="eastAsia" w:ascii="楷体" w:hAnsi="楷体" w:eastAsia="楷体" w:cs="楷体"/>
          <w:sz w:val="28"/>
          <w:szCs w:val="28"/>
          <w:lang w:eastAsia="zh-CN"/>
        </w:rPr>
        <w:t>、</w:t>
      </w:r>
      <w:r>
        <w:rPr>
          <w:rFonts w:hint="eastAsia" w:ascii="楷体" w:hAnsi="楷体" w:eastAsia="楷体" w:cs="楷体"/>
          <w:sz w:val="28"/>
          <w:szCs w:val="28"/>
          <w:lang w:eastAsia="zh-CN"/>
        </w:rPr>
        <w:fldChar w:fldCharType="begin"/>
      </w:r>
      <w:r>
        <w:rPr>
          <w:rFonts w:hint="eastAsia" w:ascii="楷体" w:hAnsi="楷体" w:eastAsia="楷体" w:cs="楷体"/>
          <w:sz w:val="28"/>
          <w:szCs w:val="28"/>
          <w:lang w:eastAsia="zh-CN"/>
        </w:rPr>
        <w:instrText xml:space="preserve"> HYPERLINK "http://baike.baidu.com/view/11627838.htm" \t "http://baike.baidu.com/_blank" </w:instrText>
      </w:r>
      <w:r>
        <w:rPr>
          <w:rFonts w:hint="eastAsia" w:ascii="楷体" w:hAnsi="楷体" w:eastAsia="楷体" w:cs="楷体"/>
          <w:sz w:val="28"/>
          <w:szCs w:val="28"/>
          <w:lang w:eastAsia="zh-CN"/>
        </w:rPr>
        <w:fldChar w:fldCharType="separate"/>
      </w:r>
      <w:r>
        <w:rPr>
          <w:rFonts w:hint="eastAsia" w:ascii="楷体" w:hAnsi="楷体" w:eastAsia="楷体" w:cs="楷体"/>
          <w:sz w:val="28"/>
          <w:szCs w:val="28"/>
          <w:lang w:eastAsia="zh-CN"/>
        </w:rPr>
        <w:t>全面深化改革</w:t>
      </w:r>
      <w:r>
        <w:rPr>
          <w:rFonts w:hint="eastAsia" w:ascii="楷体" w:hAnsi="楷体" w:eastAsia="楷体" w:cs="楷体"/>
          <w:sz w:val="28"/>
          <w:szCs w:val="28"/>
          <w:lang w:eastAsia="zh-CN"/>
        </w:rPr>
        <w:fldChar w:fldCharType="end"/>
      </w:r>
      <w:r>
        <w:rPr>
          <w:rFonts w:hint="eastAsia" w:ascii="楷体" w:hAnsi="楷体" w:eastAsia="楷体" w:cs="楷体"/>
          <w:sz w:val="28"/>
          <w:szCs w:val="28"/>
          <w:lang w:eastAsia="zh-CN"/>
        </w:rPr>
        <w:t>、</w:t>
      </w:r>
      <w:r>
        <w:rPr>
          <w:rFonts w:hint="eastAsia" w:ascii="楷体" w:hAnsi="楷体" w:eastAsia="楷体" w:cs="楷体"/>
          <w:sz w:val="28"/>
          <w:szCs w:val="28"/>
          <w:lang w:eastAsia="zh-CN"/>
        </w:rPr>
        <w:fldChar w:fldCharType="begin"/>
      </w:r>
      <w:r>
        <w:rPr>
          <w:rFonts w:hint="eastAsia" w:ascii="楷体" w:hAnsi="楷体" w:eastAsia="楷体" w:cs="楷体"/>
          <w:sz w:val="28"/>
          <w:szCs w:val="28"/>
          <w:lang w:eastAsia="zh-CN"/>
        </w:rPr>
        <w:instrText xml:space="preserve"> HYPERLINK "http://baike.baidu.com/view/813892.htm" \t "http://baike.baidu.com/_blank" </w:instrText>
      </w:r>
      <w:r>
        <w:rPr>
          <w:rFonts w:hint="eastAsia" w:ascii="楷体" w:hAnsi="楷体" w:eastAsia="楷体" w:cs="楷体"/>
          <w:sz w:val="28"/>
          <w:szCs w:val="28"/>
          <w:lang w:eastAsia="zh-CN"/>
        </w:rPr>
        <w:fldChar w:fldCharType="separate"/>
      </w:r>
      <w:r>
        <w:rPr>
          <w:rFonts w:hint="eastAsia" w:ascii="楷体" w:hAnsi="楷体" w:eastAsia="楷体" w:cs="楷体"/>
          <w:sz w:val="28"/>
          <w:szCs w:val="28"/>
          <w:lang w:eastAsia="zh-CN"/>
        </w:rPr>
        <w:t>全面</w:t>
      </w:r>
      <w:r>
        <w:rPr>
          <w:rFonts w:hint="eastAsia" w:ascii="楷体" w:hAnsi="楷体" w:eastAsia="楷体" w:cs="楷体"/>
          <w:sz w:val="28"/>
          <w:szCs w:val="28"/>
          <w:lang w:eastAsia="zh-CN"/>
        </w:rPr>
        <w:fldChar w:fldCharType="end"/>
      </w:r>
      <w:r>
        <w:rPr>
          <w:rFonts w:hint="eastAsia" w:ascii="楷体" w:hAnsi="楷体" w:eastAsia="楷体" w:cs="楷体"/>
          <w:sz w:val="28"/>
          <w:szCs w:val="28"/>
          <w:lang w:eastAsia="zh-CN"/>
        </w:rPr>
        <w:fldChar w:fldCharType="begin"/>
      </w:r>
      <w:r>
        <w:rPr>
          <w:rFonts w:hint="eastAsia" w:ascii="楷体" w:hAnsi="楷体" w:eastAsia="楷体" w:cs="楷体"/>
          <w:sz w:val="28"/>
          <w:szCs w:val="28"/>
          <w:lang w:eastAsia="zh-CN"/>
        </w:rPr>
        <w:instrText xml:space="preserve"> HYPERLINK "http://baike.baidu.com/view/50940.htm" \t "http://baike.baidu.com/_blank" </w:instrText>
      </w:r>
      <w:r>
        <w:rPr>
          <w:rFonts w:hint="eastAsia" w:ascii="楷体" w:hAnsi="楷体" w:eastAsia="楷体" w:cs="楷体"/>
          <w:sz w:val="28"/>
          <w:szCs w:val="28"/>
          <w:lang w:eastAsia="zh-CN"/>
        </w:rPr>
        <w:fldChar w:fldCharType="separate"/>
      </w:r>
      <w:r>
        <w:rPr>
          <w:rFonts w:hint="eastAsia" w:ascii="楷体" w:hAnsi="楷体" w:eastAsia="楷体" w:cs="楷体"/>
          <w:sz w:val="28"/>
          <w:szCs w:val="28"/>
          <w:lang w:eastAsia="zh-CN"/>
        </w:rPr>
        <w:t>依法治国</w:t>
      </w:r>
      <w:r>
        <w:rPr>
          <w:rFonts w:hint="eastAsia" w:ascii="楷体" w:hAnsi="楷体" w:eastAsia="楷体" w:cs="楷体"/>
          <w:sz w:val="28"/>
          <w:szCs w:val="28"/>
          <w:lang w:eastAsia="zh-CN"/>
        </w:rPr>
        <w:fldChar w:fldCharType="end"/>
      </w:r>
      <w:r>
        <w:rPr>
          <w:rFonts w:hint="eastAsia" w:ascii="楷体" w:hAnsi="楷体" w:eastAsia="楷体" w:cs="楷体"/>
          <w:sz w:val="28"/>
          <w:szCs w:val="28"/>
          <w:lang w:eastAsia="zh-CN"/>
        </w:rPr>
        <w:t>、</w:t>
      </w:r>
      <w:r>
        <w:rPr>
          <w:rFonts w:hint="eastAsia" w:ascii="楷体" w:hAnsi="楷体" w:eastAsia="楷体" w:cs="楷体"/>
          <w:sz w:val="28"/>
          <w:szCs w:val="28"/>
          <w:lang w:eastAsia="zh-CN"/>
        </w:rPr>
        <w:fldChar w:fldCharType="begin"/>
      </w:r>
      <w:r>
        <w:rPr>
          <w:rFonts w:hint="eastAsia" w:ascii="楷体" w:hAnsi="楷体" w:eastAsia="楷体" w:cs="楷体"/>
          <w:sz w:val="28"/>
          <w:szCs w:val="28"/>
          <w:lang w:eastAsia="zh-CN"/>
        </w:rPr>
        <w:instrText xml:space="preserve"> HYPERLINK "http://baike.baidu.com/item/%E5%85%A8%E9%9D%A2%E4%BB%8E%E4%B8%A5%E6%B2%BB%E5%85%9A" \t "http://baike.baidu.com/_blank" </w:instrText>
      </w:r>
      <w:r>
        <w:rPr>
          <w:rFonts w:hint="eastAsia" w:ascii="楷体" w:hAnsi="楷体" w:eastAsia="楷体" w:cs="楷体"/>
          <w:sz w:val="28"/>
          <w:szCs w:val="28"/>
          <w:lang w:eastAsia="zh-CN"/>
        </w:rPr>
        <w:fldChar w:fldCharType="separate"/>
      </w:r>
      <w:r>
        <w:rPr>
          <w:rFonts w:hint="eastAsia" w:ascii="楷体" w:hAnsi="楷体" w:eastAsia="楷体" w:cs="楷体"/>
          <w:sz w:val="28"/>
          <w:szCs w:val="28"/>
          <w:lang w:eastAsia="zh-CN"/>
        </w:rPr>
        <w:t>全面从严治党</w:t>
      </w:r>
      <w:r>
        <w:rPr>
          <w:rFonts w:hint="eastAsia" w:ascii="楷体" w:hAnsi="楷体" w:eastAsia="楷体" w:cs="楷体"/>
          <w:sz w:val="28"/>
          <w:szCs w:val="28"/>
          <w:lang w:eastAsia="zh-CN"/>
        </w:rPr>
        <w:fldChar w:fldCharType="end"/>
      </w:r>
      <w:r>
        <w:rPr>
          <w:rFonts w:hint="eastAsia" w:ascii="楷体" w:hAnsi="楷体" w:eastAsia="楷体" w:cs="楷体"/>
          <w:sz w:val="28"/>
          <w:szCs w:val="28"/>
          <w:lang w:eastAsia="zh-CN"/>
        </w:rPr>
        <w:t>。“四个全面”战略布局是以习近平同志为总书记的党中央治国理政战略思想的重要内容。</w:t>
      </w:r>
    </w:p>
    <w:p>
      <w:pPr>
        <w:rPr>
          <w:rFonts w:hint="eastAsia" w:ascii="楷体" w:hAnsi="楷体" w:eastAsia="楷体" w:cs="楷体"/>
          <w:sz w:val="28"/>
          <w:szCs w:val="28"/>
        </w:rPr>
      </w:pPr>
      <w:r>
        <w:rPr>
          <w:rFonts w:hint="eastAsia" w:ascii="楷体" w:hAnsi="楷体" w:eastAsia="楷体" w:cs="楷体"/>
          <w:b/>
          <w:bCs/>
          <w:sz w:val="28"/>
          <w:szCs w:val="28"/>
          <w:lang w:val="en-US" w:eastAsia="zh-CN"/>
        </w:rPr>
        <w:t xml:space="preserve">   </w:t>
      </w:r>
      <w:r>
        <w:rPr>
          <w:rFonts w:hint="eastAsia" w:ascii="楷体" w:hAnsi="楷体" w:eastAsia="楷体" w:cs="楷体"/>
          <w:b w:val="0"/>
          <w:bCs w:val="0"/>
          <w:sz w:val="28"/>
          <w:szCs w:val="28"/>
          <w:lang w:val="en-US" w:eastAsia="zh-CN"/>
        </w:rPr>
        <w:t xml:space="preserve"> </w:t>
      </w:r>
      <w:r>
        <w:rPr>
          <w:rFonts w:hint="eastAsia" w:ascii="楷体" w:hAnsi="楷体" w:eastAsia="楷体" w:cs="楷体"/>
          <w:b/>
          <w:bCs/>
          <w:sz w:val="28"/>
          <w:szCs w:val="28"/>
          <w:lang w:val="en-US" w:eastAsia="zh-CN"/>
        </w:rPr>
        <w:t>6、</w:t>
      </w:r>
      <w:r>
        <w:rPr>
          <w:rFonts w:hint="eastAsia" w:ascii="楷体" w:hAnsi="楷体" w:eastAsia="楷体" w:cs="楷体"/>
          <w:b/>
          <w:bCs/>
          <w:sz w:val="28"/>
          <w:szCs w:val="28"/>
        </w:rPr>
        <w:t>四个着力</w:t>
      </w:r>
      <w:r>
        <w:rPr>
          <w:rFonts w:hint="eastAsia" w:ascii="楷体" w:hAnsi="楷体" w:eastAsia="楷体" w:cs="楷体"/>
          <w:b/>
          <w:bCs/>
          <w:sz w:val="28"/>
          <w:szCs w:val="28"/>
          <w:lang w:eastAsia="zh-CN"/>
        </w:rPr>
        <w:t>：</w:t>
      </w:r>
      <w:r>
        <w:rPr>
          <w:rFonts w:hint="eastAsia" w:ascii="楷体" w:hAnsi="楷体" w:eastAsia="楷体" w:cs="楷体"/>
          <w:b w:val="0"/>
          <w:bCs w:val="0"/>
          <w:sz w:val="28"/>
          <w:szCs w:val="28"/>
          <w:lang w:eastAsia="zh-CN"/>
        </w:rPr>
        <w:t>十八大报告指出：“</w:t>
      </w:r>
      <w:r>
        <w:rPr>
          <w:rFonts w:hint="eastAsia" w:ascii="楷体" w:hAnsi="楷体" w:eastAsia="楷体" w:cs="楷体"/>
          <w:sz w:val="28"/>
          <w:szCs w:val="28"/>
          <w:lang w:eastAsia="zh-CN"/>
        </w:rPr>
        <w:t>加快形成新的经济发展方式，把推动发展的立足点转到提高质量和效益上来，着力激发各类市场主体发展新活力，着力增强创新驱动发展新动力，着力构建现代产业发展新体系，着力培育开放型经济发展新优势。”</w:t>
      </w:r>
    </w:p>
    <w:p>
      <w:pPr>
        <w:rPr>
          <w:rFonts w:hint="eastAsia" w:ascii="楷体" w:hAnsi="楷体" w:eastAsia="楷体" w:cs="楷体"/>
          <w:sz w:val="28"/>
          <w:szCs w:val="28"/>
        </w:rPr>
      </w:pPr>
      <w:r>
        <w:rPr>
          <w:rFonts w:hint="eastAsia" w:ascii="楷体" w:hAnsi="楷体" w:eastAsia="楷体" w:cs="楷体"/>
          <w:b/>
          <w:bCs/>
          <w:sz w:val="28"/>
          <w:szCs w:val="28"/>
          <w:lang w:val="en-US" w:eastAsia="zh-CN"/>
        </w:rPr>
        <w:t xml:space="preserve">    7、</w:t>
      </w:r>
      <w:r>
        <w:rPr>
          <w:rFonts w:hint="eastAsia" w:ascii="楷体" w:hAnsi="楷体" w:eastAsia="楷体" w:cs="楷体"/>
          <w:b/>
          <w:bCs/>
          <w:sz w:val="28"/>
          <w:szCs w:val="28"/>
        </w:rPr>
        <w:t>一带一路</w:t>
      </w:r>
      <w:r>
        <w:rPr>
          <w:rFonts w:hint="eastAsia" w:ascii="楷体" w:hAnsi="楷体" w:eastAsia="楷体" w:cs="楷体"/>
          <w:b/>
          <w:bCs/>
          <w:sz w:val="28"/>
          <w:szCs w:val="28"/>
          <w:lang w:eastAsia="zh-CN"/>
        </w:rPr>
        <w:t>：</w:t>
      </w:r>
      <w:r>
        <w:rPr>
          <w:rFonts w:hint="eastAsia" w:ascii="楷体" w:hAnsi="楷体" w:eastAsia="楷体" w:cs="楷体"/>
          <w:sz w:val="28"/>
          <w:szCs w:val="28"/>
          <w:lang w:eastAsia="zh-CN"/>
        </w:rPr>
        <w:t>是</w:t>
      </w:r>
      <w:r>
        <w:rPr>
          <w:rFonts w:hint="eastAsia" w:ascii="楷体" w:hAnsi="楷体" w:eastAsia="楷体" w:cs="楷体"/>
          <w:sz w:val="28"/>
          <w:szCs w:val="28"/>
          <w:lang w:eastAsia="zh-CN"/>
        </w:rPr>
        <w:fldChar w:fldCharType="begin"/>
      </w:r>
      <w:r>
        <w:rPr>
          <w:rFonts w:hint="eastAsia" w:ascii="楷体" w:hAnsi="楷体" w:eastAsia="楷体" w:cs="楷体"/>
          <w:sz w:val="28"/>
          <w:szCs w:val="28"/>
          <w:lang w:eastAsia="zh-CN"/>
        </w:rPr>
        <w:instrText xml:space="preserve"> HYPERLINK "http://baike.baidu.com/view/10896802.htm" \t "http://baike.baidu.com/_blank" </w:instrText>
      </w:r>
      <w:r>
        <w:rPr>
          <w:rFonts w:hint="eastAsia" w:ascii="楷体" w:hAnsi="楷体" w:eastAsia="楷体" w:cs="楷体"/>
          <w:sz w:val="28"/>
          <w:szCs w:val="28"/>
          <w:lang w:eastAsia="zh-CN"/>
        </w:rPr>
        <w:fldChar w:fldCharType="separate"/>
      </w:r>
      <w:r>
        <w:rPr>
          <w:rFonts w:hint="eastAsia" w:ascii="楷体" w:hAnsi="楷体" w:eastAsia="楷体" w:cs="楷体"/>
          <w:sz w:val="28"/>
          <w:szCs w:val="28"/>
          <w:lang w:eastAsia="zh-CN"/>
        </w:rPr>
        <w:t>丝绸之路经济带</w:t>
      </w:r>
      <w:r>
        <w:rPr>
          <w:rFonts w:hint="eastAsia" w:ascii="楷体" w:hAnsi="楷体" w:eastAsia="楷体" w:cs="楷体"/>
          <w:sz w:val="28"/>
          <w:szCs w:val="28"/>
          <w:lang w:eastAsia="zh-CN"/>
        </w:rPr>
        <w:fldChar w:fldCharType="end"/>
      </w:r>
      <w:r>
        <w:rPr>
          <w:rFonts w:hint="eastAsia" w:ascii="楷体" w:hAnsi="楷体" w:eastAsia="楷体" w:cs="楷体"/>
          <w:sz w:val="28"/>
          <w:szCs w:val="28"/>
          <w:lang w:eastAsia="zh-CN"/>
        </w:rPr>
        <w:t>和</w:t>
      </w:r>
      <w:r>
        <w:rPr>
          <w:rFonts w:hint="eastAsia" w:ascii="楷体" w:hAnsi="楷体" w:eastAsia="楷体" w:cs="楷体"/>
          <w:sz w:val="28"/>
          <w:szCs w:val="28"/>
          <w:lang w:eastAsia="zh-CN"/>
        </w:rPr>
        <w:fldChar w:fldCharType="begin"/>
      </w:r>
      <w:r>
        <w:rPr>
          <w:rFonts w:hint="eastAsia" w:ascii="楷体" w:hAnsi="楷体" w:eastAsia="楷体" w:cs="楷体"/>
          <w:sz w:val="28"/>
          <w:szCs w:val="28"/>
          <w:lang w:eastAsia="zh-CN"/>
        </w:rPr>
        <w:instrText xml:space="preserve"> HYPERLINK "http://baike.baidu.com/view/12402338.htm" \t "http://baike.baidu.com/_blank" </w:instrText>
      </w:r>
      <w:r>
        <w:rPr>
          <w:rFonts w:hint="eastAsia" w:ascii="楷体" w:hAnsi="楷体" w:eastAsia="楷体" w:cs="楷体"/>
          <w:sz w:val="28"/>
          <w:szCs w:val="28"/>
          <w:lang w:eastAsia="zh-CN"/>
        </w:rPr>
        <w:fldChar w:fldCharType="separate"/>
      </w:r>
      <w:r>
        <w:rPr>
          <w:rFonts w:hint="eastAsia" w:ascii="楷体" w:hAnsi="楷体" w:eastAsia="楷体" w:cs="楷体"/>
          <w:sz w:val="28"/>
          <w:szCs w:val="28"/>
          <w:lang w:eastAsia="zh-CN"/>
        </w:rPr>
        <w:t>21世纪海上丝绸之路</w:t>
      </w:r>
      <w:r>
        <w:rPr>
          <w:rFonts w:hint="eastAsia" w:ascii="楷体" w:hAnsi="楷体" w:eastAsia="楷体" w:cs="楷体"/>
          <w:sz w:val="28"/>
          <w:szCs w:val="28"/>
          <w:lang w:eastAsia="zh-CN"/>
        </w:rPr>
        <w:fldChar w:fldCharType="end"/>
      </w:r>
      <w:r>
        <w:rPr>
          <w:rFonts w:hint="eastAsia" w:ascii="楷体" w:hAnsi="楷体" w:eastAsia="楷体" w:cs="楷体"/>
          <w:sz w:val="28"/>
          <w:szCs w:val="28"/>
          <w:lang w:eastAsia="zh-CN"/>
        </w:rPr>
        <w:t>的简称，2013年9月和10月由中国国家主席</w:t>
      </w:r>
      <w:r>
        <w:rPr>
          <w:rFonts w:hint="eastAsia" w:ascii="楷体" w:hAnsi="楷体" w:eastAsia="楷体" w:cs="楷体"/>
          <w:sz w:val="28"/>
          <w:szCs w:val="28"/>
          <w:lang w:eastAsia="zh-CN"/>
        </w:rPr>
        <w:fldChar w:fldCharType="begin"/>
      </w:r>
      <w:r>
        <w:rPr>
          <w:rFonts w:hint="eastAsia" w:ascii="楷体" w:hAnsi="楷体" w:eastAsia="楷体" w:cs="楷体"/>
          <w:sz w:val="28"/>
          <w:szCs w:val="28"/>
          <w:lang w:eastAsia="zh-CN"/>
        </w:rPr>
        <w:instrText xml:space="preserve"> HYPERLINK "http://baike.baidu.com/view/27362.htm" \t "http://baike.baidu.com/_blank" </w:instrText>
      </w:r>
      <w:r>
        <w:rPr>
          <w:rFonts w:hint="eastAsia" w:ascii="楷体" w:hAnsi="楷体" w:eastAsia="楷体" w:cs="楷体"/>
          <w:sz w:val="28"/>
          <w:szCs w:val="28"/>
          <w:lang w:eastAsia="zh-CN"/>
        </w:rPr>
        <w:fldChar w:fldCharType="separate"/>
      </w:r>
      <w:r>
        <w:rPr>
          <w:rFonts w:hint="eastAsia" w:ascii="楷体" w:hAnsi="楷体" w:eastAsia="楷体" w:cs="楷体"/>
          <w:sz w:val="28"/>
          <w:szCs w:val="28"/>
          <w:lang w:eastAsia="zh-CN"/>
        </w:rPr>
        <w:t>习近平</w:t>
      </w:r>
      <w:r>
        <w:rPr>
          <w:rFonts w:hint="eastAsia" w:ascii="楷体" w:hAnsi="楷体" w:eastAsia="楷体" w:cs="楷体"/>
          <w:sz w:val="28"/>
          <w:szCs w:val="28"/>
          <w:lang w:eastAsia="zh-CN"/>
        </w:rPr>
        <w:fldChar w:fldCharType="end"/>
      </w:r>
      <w:r>
        <w:rPr>
          <w:rFonts w:hint="eastAsia" w:ascii="楷体" w:hAnsi="楷体" w:eastAsia="楷体" w:cs="楷体"/>
          <w:sz w:val="28"/>
          <w:szCs w:val="28"/>
          <w:lang w:eastAsia="zh-CN"/>
        </w:rPr>
        <w:t>分别提出建设“新丝绸之路经济带”和“21世纪海上丝绸之路”的战略构想。</w:t>
      </w:r>
    </w:p>
    <w:p>
      <w:pPr>
        <w:rPr>
          <w:rFonts w:hint="eastAsia" w:ascii="楷体" w:hAnsi="楷体" w:eastAsia="楷体" w:cs="楷体"/>
          <w:sz w:val="28"/>
          <w:szCs w:val="28"/>
        </w:rPr>
      </w:pPr>
      <w:r>
        <w:rPr>
          <w:rFonts w:hint="eastAsia" w:ascii="楷体" w:hAnsi="楷体" w:eastAsia="楷体" w:cs="楷体"/>
          <w:b/>
          <w:bCs/>
          <w:sz w:val="28"/>
          <w:szCs w:val="28"/>
          <w:lang w:val="en-US" w:eastAsia="zh-CN"/>
        </w:rPr>
        <w:t xml:space="preserve">    8、</w:t>
      </w:r>
      <w:r>
        <w:rPr>
          <w:rFonts w:hint="eastAsia" w:ascii="楷体" w:hAnsi="楷体" w:eastAsia="楷体" w:cs="楷体"/>
          <w:b/>
          <w:bCs/>
          <w:sz w:val="28"/>
          <w:szCs w:val="28"/>
        </w:rPr>
        <w:t>退二进三</w:t>
      </w:r>
      <w:r>
        <w:rPr>
          <w:rFonts w:hint="eastAsia" w:ascii="楷体" w:hAnsi="楷体" w:eastAsia="楷体" w:cs="楷体"/>
          <w:b/>
          <w:bCs/>
          <w:sz w:val="28"/>
          <w:szCs w:val="28"/>
          <w:lang w:eastAsia="zh-CN"/>
        </w:rPr>
        <w:t>：</w:t>
      </w:r>
      <w:r>
        <w:rPr>
          <w:rFonts w:hint="eastAsia" w:ascii="楷体" w:hAnsi="楷体" w:eastAsia="楷体" w:cs="楷体"/>
          <w:sz w:val="28"/>
          <w:szCs w:val="28"/>
          <w:lang w:eastAsia="zh-CN"/>
        </w:rPr>
        <w:t>通常是指在产业结构调整中，缩小第二产业，发展第三产业。</w:t>
      </w:r>
    </w:p>
    <w:p>
      <w:pPr>
        <w:ind w:firstLine="560" w:firstLineChars="200"/>
        <w:rPr>
          <w:rFonts w:hint="eastAsia" w:ascii="楷体" w:hAnsi="楷体" w:eastAsia="楷体" w:cs="楷体"/>
          <w:sz w:val="28"/>
          <w:szCs w:val="28"/>
          <w:lang w:val="en-US" w:eastAsia="zh-CN"/>
        </w:rPr>
      </w:pPr>
      <w:r>
        <w:rPr>
          <w:rFonts w:hint="eastAsia" w:ascii="楷体" w:hAnsi="楷体" w:eastAsia="楷体" w:cs="楷体"/>
          <w:b/>
          <w:bCs/>
          <w:sz w:val="28"/>
          <w:szCs w:val="28"/>
          <w:lang w:val="en-US" w:eastAsia="zh-CN"/>
        </w:rPr>
        <w:t>9、</w:t>
      </w:r>
      <w:r>
        <w:rPr>
          <w:rFonts w:hint="eastAsia" w:ascii="楷体" w:hAnsi="楷体" w:eastAsia="楷体" w:cs="楷体"/>
          <w:b/>
          <w:bCs/>
          <w:sz w:val="28"/>
          <w:szCs w:val="28"/>
          <w:lang w:eastAsia="zh-CN"/>
        </w:rPr>
        <w:t>两</w:t>
      </w:r>
      <w:r>
        <w:rPr>
          <w:rFonts w:hint="eastAsia" w:ascii="楷体" w:hAnsi="楷体" w:eastAsia="楷体" w:cs="楷体"/>
          <w:b/>
          <w:bCs/>
          <w:sz w:val="28"/>
          <w:szCs w:val="28"/>
        </w:rPr>
        <w:t>个</w:t>
      </w:r>
      <w:r>
        <w:rPr>
          <w:rFonts w:hint="eastAsia" w:ascii="楷体" w:hAnsi="楷体" w:eastAsia="楷体" w:cs="楷体"/>
          <w:b/>
          <w:bCs/>
          <w:sz w:val="28"/>
          <w:szCs w:val="28"/>
          <w:lang w:eastAsia="zh-CN"/>
        </w:rPr>
        <w:t>一</w:t>
      </w:r>
      <w:r>
        <w:rPr>
          <w:rFonts w:hint="eastAsia" w:ascii="楷体" w:hAnsi="楷体" w:eastAsia="楷体" w:cs="楷体"/>
          <w:b/>
          <w:bCs/>
          <w:sz w:val="28"/>
          <w:szCs w:val="28"/>
        </w:rPr>
        <w:t>百年</w:t>
      </w:r>
      <w:r>
        <w:rPr>
          <w:rFonts w:hint="eastAsia" w:ascii="楷体" w:hAnsi="楷体" w:eastAsia="楷体" w:cs="楷体"/>
          <w:b/>
          <w:bCs/>
          <w:sz w:val="28"/>
          <w:szCs w:val="28"/>
          <w:lang w:eastAsia="zh-CN"/>
        </w:rPr>
        <w:t>：</w:t>
      </w:r>
      <w:r>
        <w:rPr>
          <w:rFonts w:hint="eastAsia" w:ascii="楷体" w:hAnsi="楷体" w:eastAsia="楷体" w:cs="楷体"/>
          <w:sz w:val="28"/>
          <w:szCs w:val="28"/>
          <w:lang w:val="en-US" w:eastAsia="zh-CN"/>
        </w:rPr>
        <w:t>是党的十八大会议中提出的一项奋斗目标，第一个一百年，到中国共产党成立100年时（2021年）</w:t>
      </w:r>
      <w:r>
        <w:rPr>
          <w:rFonts w:hint="eastAsia" w:ascii="楷体" w:hAnsi="楷体" w:eastAsia="楷体" w:cs="楷体"/>
          <w:sz w:val="28"/>
          <w:szCs w:val="28"/>
          <w:lang w:val="en-US" w:eastAsia="zh-CN"/>
        </w:rPr>
        <w:fldChar w:fldCharType="begin"/>
      </w:r>
      <w:r>
        <w:rPr>
          <w:rFonts w:hint="eastAsia" w:ascii="楷体" w:hAnsi="楷体" w:eastAsia="楷体" w:cs="楷体"/>
          <w:sz w:val="28"/>
          <w:szCs w:val="28"/>
          <w:lang w:val="en-US" w:eastAsia="zh-CN"/>
        </w:rPr>
        <w:instrText xml:space="preserve"> HYPERLINK "http://baike.baidu.com/view/9590584.htm" \t "http://baike.baidu.com/_blank" </w:instrText>
      </w:r>
      <w:r>
        <w:rPr>
          <w:rFonts w:hint="eastAsia" w:ascii="楷体" w:hAnsi="楷体" w:eastAsia="楷体" w:cs="楷体"/>
          <w:sz w:val="28"/>
          <w:szCs w:val="28"/>
          <w:lang w:val="en-US" w:eastAsia="zh-CN"/>
        </w:rPr>
        <w:fldChar w:fldCharType="separate"/>
      </w:r>
      <w:r>
        <w:rPr>
          <w:rFonts w:hint="eastAsia" w:ascii="楷体" w:hAnsi="楷体" w:eastAsia="楷体" w:cs="楷体"/>
          <w:sz w:val="28"/>
          <w:szCs w:val="28"/>
          <w:lang w:val="en-US" w:eastAsia="zh-CN"/>
        </w:rPr>
        <w:t>全面建成小康社会</w:t>
      </w:r>
      <w:r>
        <w:rPr>
          <w:rFonts w:hint="eastAsia" w:ascii="楷体" w:hAnsi="楷体" w:eastAsia="楷体" w:cs="楷体"/>
          <w:sz w:val="28"/>
          <w:szCs w:val="28"/>
          <w:lang w:val="en-US" w:eastAsia="zh-CN"/>
        </w:rPr>
        <w:fldChar w:fldCharType="end"/>
      </w:r>
      <w:r>
        <w:rPr>
          <w:rFonts w:hint="eastAsia" w:ascii="楷体" w:hAnsi="楷体" w:eastAsia="楷体" w:cs="楷体"/>
          <w:sz w:val="28"/>
          <w:szCs w:val="28"/>
          <w:lang w:val="en-US" w:eastAsia="zh-CN"/>
        </w:rPr>
        <w:t>,实现国内生产总值和城乡居民人均收入比2010年翻一番；第二个一百年，到新中国成立100年时（2049年）建成富强、民主、文明、和谐的社会主义现代化国家。</w:t>
      </w:r>
    </w:p>
    <w:p>
      <w:pPr>
        <w:ind w:firstLine="560" w:firstLineChars="200"/>
        <w:rPr>
          <w:rFonts w:hint="eastAsia" w:ascii="楷体" w:hAnsi="楷体" w:eastAsia="楷体" w:cs="楷体"/>
          <w:sz w:val="28"/>
          <w:szCs w:val="28"/>
          <w:lang w:val="en-US" w:eastAsia="zh-CN"/>
        </w:rPr>
      </w:pPr>
      <w:r>
        <w:rPr>
          <w:rFonts w:hint="eastAsia" w:ascii="楷体" w:hAnsi="楷体" w:eastAsia="楷体" w:cs="楷体"/>
          <w:b/>
          <w:bCs/>
          <w:sz w:val="28"/>
          <w:szCs w:val="28"/>
          <w:lang w:val="en-US" w:eastAsia="zh-CN"/>
        </w:rPr>
        <w:t>10、PPP模式：</w:t>
      </w:r>
      <w:r>
        <w:rPr>
          <w:rFonts w:hint="eastAsia" w:ascii="楷体" w:hAnsi="楷体" w:eastAsia="楷体" w:cs="楷体"/>
          <w:sz w:val="28"/>
          <w:szCs w:val="28"/>
          <w:lang w:val="en-US" w:eastAsia="zh-CN"/>
        </w:rPr>
        <w:t>是指政府与社会组织之间，是为了提供某种公共物品和服务，以特许权协议为基础，彼此之间形成一种伙伴式的合作关系。</w:t>
      </w:r>
    </w:p>
    <w:p>
      <w:pPr>
        <w:ind w:firstLine="560" w:firstLineChars="200"/>
        <w:rPr>
          <w:rFonts w:hint="eastAsia" w:ascii="楷体" w:hAnsi="楷体" w:eastAsia="楷体" w:cs="楷体"/>
          <w:sz w:val="28"/>
          <w:szCs w:val="28"/>
          <w:lang w:val="en-US" w:eastAsia="zh-CN"/>
        </w:rPr>
      </w:pPr>
      <w:r>
        <w:rPr>
          <w:rFonts w:hint="eastAsia" w:ascii="楷体" w:hAnsi="楷体" w:eastAsia="楷体" w:cs="楷体"/>
          <w:b/>
          <w:bCs/>
          <w:sz w:val="28"/>
          <w:szCs w:val="28"/>
          <w:lang w:val="en-US" w:eastAsia="zh-CN"/>
        </w:rPr>
        <w:t>11、抚顺（望花）商贸流通集聚区：</w:t>
      </w:r>
      <w:r>
        <w:rPr>
          <w:rFonts w:hint="eastAsia" w:ascii="楷体" w:hAnsi="楷体" w:eastAsia="楷体" w:cs="楷体"/>
          <w:sz w:val="28"/>
          <w:szCs w:val="28"/>
          <w:lang w:val="en-US" w:eastAsia="zh-CN"/>
        </w:rPr>
        <w:t>原和平商贸集聚区，东至凌源街，西至望花大街，南至锦州路，北至营口路，规划占地面积2.5平方公里。</w:t>
      </w:r>
    </w:p>
    <w:p>
      <w:pPr>
        <w:rPr>
          <w:rFonts w:hint="eastAsia" w:ascii="楷体" w:hAnsi="楷体" w:eastAsia="楷体" w:cs="楷体"/>
          <w:sz w:val="28"/>
          <w:szCs w:val="28"/>
        </w:rPr>
      </w:pPr>
      <w:r>
        <w:rPr>
          <w:rFonts w:hint="eastAsia" w:ascii="楷体" w:hAnsi="楷体" w:eastAsia="楷体" w:cs="楷体"/>
          <w:b/>
          <w:bCs/>
          <w:sz w:val="28"/>
          <w:szCs w:val="28"/>
          <w:lang w:val="en-US" w:eastAsia="zh-CN"/>
        </w:rPr>
        <w:t xml:space="preserve">    12、</w:t>
      </w:r>
      <w:r>
        <w:rPr>
          <w:rFonts w:hint="eastAsia" w:ascii="楷体" w:hAnsi="楷体" w:eastAsia="楷体" w:cs="楷体"/>
          <w:b/>
          <w:bCs/>
          <w:sz w:val="28"/>
          <w:szCs w:val="28"/>
        </w:rPr>
        <w:t>城市肌理</w:t>
      </w:r>
      <w:r>
        <w:rPr>
          <w:rFonts w:hint="eastAsia" w:ascii="楷体" w:hAnsi="楷体" w:eastAsia="楷体" w:cs="楷体"/>
          <w:b/>
          <w:bCs/>
          <w:sz w:val="28"/>
          <w:szCs w:val="28"/>
          <w:lang w:eastAsia="zh-CN"/>
        </w:rPr>
        <w:t>：</w:t>
      </w:r>
      <w:r>
        <w:rPr>
          <w:rFonts w:hint="eastAsia" w:ascii="楷体" w:hAnsi="楷体" w:eastAsia="楷体" w:cs="楷体"/>
          <w:b w:val="0"/>
          <w:bCs w:val="0"/>
          <w:sz w:val="28"/>
          <w:szCs w:val="28"/>
          <w:lang w:eastAsia="zh-CN"/>
        </w:rPr>
        <w:t>是</w:t>
      </w:r>
      <w:r>
        <w:rPr>
          <w:rFonts w:hint="eastAsia" w:ascii="楷体" w:hAnsi="楷体" w:eastAsia="楷体" w:cs="楷体"/>
          <w:sz w:val="28"/>
          <w:szCs w:val="28"/>
          <w:lang w:eastAsia="zh-CN"/>
        </w:rPr>
        <w:t>指城市的特征，与其他城市的差异，包括形态、地质、功能等方面。</w:t>
      </w:r>
    </w:p>
    <w:p>
      <w:pPr>
        <w:rPr>
          <w:rFonts w:hint="eastAsia" w:ascii="楷体" w:hAnsi="楷体" w:eastAsia="楷体" w:cs="楷体"/>
          <w:sz w:val="28"/>
          <w:szCs w:val="28"/>
        </w:rPr>
      </w:pPr>
      <w:r>
        <w:rPr>
          <w:rFonts w:hint="eastAsia" w:ascii="楷体" w:hAnsi="楷体" w:eastAsia="楷体" w:cs="楷体"/>
          <w:b/>
          <w:bCs/>
          <w:sz w:val="28"/>
          <w:szCs w:val="28"/>
          <w:lang w:val="en-US" w:eastAsia="zh-CN"/>
        </w:rPr>
        <w:t xml:space="preserve">    13、</w:t>
      </w:r>
      <w:r>
        <w:rPr>
          <w:rFonts w:hint="eastAsia" w:ascii="楷体" w:hAnsi="楷体" w:eastAsia="楷体" w:cs="楷体"/>
          <w:b/>
          <w:bCs/>
          <w:sz w:val="28"/>
          <w:szCs w:val="28"/>
        </w:rPr>
        <w:t>农村面源污染</w:t>
      </w:r>
      <w:r>
        <w:rPr>
          <w:rFonts w:hint="eastAsia" w:ascii="楷体" w:hAnsi="楷体" w:eastAsia="楷体" w:cs="楷体"/>
          <w:b/>
          <w:bCs/>
          <w:sz w:val="28"/>
          <w:szCs w:val="28"/>
          <w:lang w:eastAsia="zh-CN"/>
        </w:rPr>
        <w:t>：</w:t>
      </w:r>
      <w:r>
        <w:rPr>
          <w:rFonts w:hint="eastAsia" w:ascii="楷体" w:hAnsi="楷体" w:eastAsia="楷体" w:cs="楷体"/>
          <w:sz w:val="28"/>
          <w:szCs w:val="28"/>
          <w:lang w:eastAsia="zh-CN"/>
        </w:rPr>
        <w:t>是指农村生活和农业生产活动中，溶解的或固体的污染物。</w:t>
      </w:r>
    </w:p>
    <w:p>
      <w:pPr>
        <w:rPr>
          <w:rFonts w:hint="eastAsia" w:ascii="楷体" w:hAnsi="楷体" w:eastAsia="楷体" w:cs="楷体"/>
          <w:sz w:val="28"/>
          <w:szCs w:val="28"/>
          <w:lang w:val="en-US" w:eastAsia="zh-CN"/>
        </w:rPr>
      </w:pPr>
      <w:r>
        <w:rPr>
          <w:rFonts w:hint="eastAsia" w:ascii="楷体" w:hAnsi="楷体" w:eastAsia="楷体" w:cs="楷体"/>
          <w:b/>
          <w:bCs/>
          <w:sz w:val="28"/>
          <w:szCs w:val="28"/>
          <w:lang w:val="en-US" w:eastAsia="zh-CN"/>
        </w:rPr>
        <w:t xml:space="preserve">    14、《中国制造2025》：</w:t>
      </w:r>
      <w:r>
        <w:rPr>
          <w:rFonts w:hint="eastAsia" w:ascii="楷体" w:hAnsi="楷体" w:eastAsia="楷体" w:cs="楷体"/>
          <w:sz w:val="28"/>
          <w:szCs w:val="28"/>
          <w:lang w:val="en-US" w:eastAsia="zh-CN"/>
        </w:rPr>
        <w:t>该规划经</w:t>
      </w:r>
      <w:r>
        <w:rPr>
          <w:rFonts w:hint="eastAsia" w:ascii="楷体" w:hAnsi="楷体" w:eastAsia="楷体" w:cs="楷体"/>
          <w:sz w:val="28"/>
          <w:szCs w:val="28"/>
          <w:lang w:val="en-US" w:eastAsia="zh-CN"/>
        </w:rPr>
        <w:fldChar w:fldCharType="begin"/>
      </w:r>
      <w:r>
        <w:rPr>
          <w:rFonts w:hint="eastAsia" w:ascii="楷体" w:hAnsi="楷体" w:eastAsia="楷体" w:cs="楷体"/>
          <w:sz w:val="28"/>
          <w:szCs w:val="28"/>
          <w:lang w:val="en-US" w:eastAsia="zh-CN"/>
        </w:rPr>
        <w:instrText xml:space="preserve"> HYPERLINK "http://baike.baidu.com/view/34021.htm" \t "http://baike.baidu.com/_blank" </w:instrText>
      </w:r>
      <w:r>
        <w:rPr>
          <w:rFonts w:hint="eastAsia" w:ascii="楷体" w:hAnsi="楷体" w:eastAsia="楷体" w:cs="楷体"/>
          <w:sz w:val="28"/>
          <w:szCs w:val="28"/>
          <w:lang w:val="en-US" w:eastAsia="zh-CN"/>
        </w:rPr>
        <w:fldChar w:fldCharType="separate"/>
      </w:r>
      <w:r>
        <w:rPr>
          <w:rFonts w:hint="eastAsia" w:ascii="楷体" w:hAnsi="楷体" w:eastAsia="楷体" w:cs="楷体"/>
          <w:sz w:val="28"/>
          <w:szCs w:val="28"/>
          <w:lang w:val="en-US" w:eastAsia="zh-CN"/>
        </w:rPr>
        <w:t>李克强</w:t>
      </w:r>
      <w:r>
        <w:rPr>
          <w:rFonts w:hint="eastAsia" w:ascii="楷体" w:hAnsi="楷体" w:eastAsia="楷体" w:cs="楷体"/>
          <w:sz w:val="28"/>
          <w:szCs w:val="28"/>
          <w:lang w:val="en-US" w:eastAsia="zh-CN"/>
        </w:rPr>
        <w:fldChar w:fldCharType="end"/>
      </w:r>
      <w:r>
        <w:rPr>
          <w:rFonts w:hint="eastAsia" w:ascii="楷体" w:hAnsi="楷体" w:eastAsia="楷体" w:cs="楷体"/>
          <w:sz w:val="28"/>
          <w:szCs w:val="28"/>
          <w:lang w:val="en-US" w:eastAsia="zh-CN"/>
        </w:rPr>
        <w:t>总理签批，并由国务院于2015年5月8日公布。规划提出了中国制造强国建设三个十年的“三步走”战略，是第一个十年的行动纲领。</w:t>
      </w:r>
    </w:p>
    <w:p>
      <w:pPr>
        <w:rPr>
          <w:rFonts w:hint="eastAsia" w:ascii="楷体" w:hAnsi="楷体" w:eastAsia="楷体" w:cs="楷体"/>
          <w:sz w:val="28"/>
          <w:szCs w:val="28"/>
        </w:rPr>
      </w:pPr>
      <w:r>
        <w:rPr>
          <w:rFonts w:hint="eastAsia" w:ascii="楷体" w:hAnsi="楷体" w:eastAsia="楷体" w:cs="楷体"/>
          <w:b/>
          <w:bCs/>
          <w:sz w:val="28"/>
          <w:szCs w:val="28"/>
          <w:lang w:val="en-US" w:eastAsia="zh-CN"/>
        </w:rPr>
        <w:t xml:space="preserve">    15、</w:t>
      </w:r>
      <w:r>
        <w:rPr>
          <w:rFonts w:hint="eastAsia" w:ascii="楷体" w:hAnsi="楷体" w:eastAsia="楷体" w:cs="楷体"/>
          <w:b/>
          <w:bCs/>
          <w:sz w:val="28"/>
          <w:szCs w:val="28"/>
        </w:rPr>
        <w:t>战略</w:t>
      </w:r>
      <w:r>
        <w:rPr>
          <w:rFonts w:hint="eastAsia" w:ascii="楷体" w:hAnsi="楷体" w:eastAsia="楷体" w:cs="楷体"/>
          <w:b/>
          <w:bCs/>
          <w:sz w:val="28"/>
          <w:szCs w:val="28"/>
          <w:lang w:eastAsia="zh-CN"/>
        </w:rPr>
        <w:t>性</w:t>
      </w:r>
      <w:r>
        <w:rPr>
          <w:rFonts w:hint="eastAsia" w:ascii="楷体" w:hAnsi="楷体" w:eastAsia="楷体" w:cs="楷体"/>
          <w:b/>
          <w:bCs/>
          <w:sz w:val="28"/>
          <w:szCs w:val="28"/>
        </w:rPr>
        <w:t>新兴产业</w:t>
      </w:r>
      <w:r>
        <w:rPr>
          <w:rFonts w:hint="eastAsia" w:ascii="楷体" w:hAnsi="楷体" w:eastAsia="楷体" w:cs="楷体"/>
          <w:b/>
          <w:bCs/>
          <w:sz w:val="28"/>
          <w:szCs w:val="28"/>
          <w:lang w:eastAsia="zh-CN"/>
        </w:rPr>
        <w:t>：</w:t>
      </w:r>
      <w:r>
        <w:rPr>
          <w:rFonts w:hint="eastAsia" w:ascii="楷体" w:hAnsi="楷体" w:eastAsia="楷体" w:cs="楷体"/>
          <w:sz w:val="28"/>
          <w:szCs w:val="28"/>
          <w:lang w:eastAsia="zh-CN"/>
        </w:rPr>
        <w:t>是以重大技术突破和重大发展需求为基础，对经济社会全局和长远发展具有重大引领带动作用，知识技术密集、物质资源消耗少、成长潜力大、综合效益好的产业。1992年中国改革开放后正式建立战略性新兴产业，到2002年重组。七大</w:t>
      </w:r>
      <w:r>
        <w:rPr>
          <w:rFonts w:hint="eastAsia" w:ascii="楷体" w:hAnsi="楷体" w:eastAsia="楷体" w:cs="楷体"/>
          <w:b w:val="0"/>
          <w:bCs w:val="0"/>
          <w:sz w:val="28"/>
          <w:szCs w:val="28"/>
        </w:rPr>
        <w:t>战略</w:t>
      </w:r>
      <w:r>
        <w:rPr>
          <w:rFonts w:hint="eastAsia" w:ascii="楷体" w:hAnsi="楷体" w:eastAsia="楷体" w:cs="楷体"/>
          <w:b w:val="0"/>
          <w:bCs w:val="0"/>
          <w:sz w:val="28"/>
          <w:szCs w:val="28"/>
          <w:lang w:eastAsia="zh-CN"/>
        </w:rPr>
        <w:t>性</w:t>
      </w:r>
      <w:r>
        <w:rPr>
          <w:rFonts w:hint="eastAsia" w:ascii="楷体" w:hAnsi="楷体" w:eastAsia="楷体" w:cs="楷体"/>
          <w:b w:val="0"/>
          <w:bCs w:val="0"/>
          <w:sz w:val="28"/>
          <w:szCs w:val="28"/>
        </w:rPr>
        <w:t>新兴产业</w:t>
      </w:r>
      <w:r>
        <w:rPr>
          <w:rFonts w:hint="eastAsia" w:ascii="楷体" w:hAnsi="楷体" w:eastAsia="楷体" w:cs="楷体"/>
          <w:b w:val="0"/>
          <w:bCs w:val="0"/>
          <w:sz w:val="28"/>
          <w:szCs w:val="28"/>
          <w:lang w:eastAsia="zh-CN"/>
        </w:rPr>
        <w:t>包括</w:t>
      </w:r>
      <w:r>
        <w:rPr>
          <w:rFonts w:hint="eastAsia" w:ascii="楷体" w:hAnsi="楷体" w:eastAsia="楷体" w:cs="楷体"/>
          <w:sz w:val="28"/>
          <w:szCs w:val="28"/>
          <w:lang w:eastAsia="zh-CN"/>
        </w:rPr>
        <w:t>节能环保、新兴信息产业、生物产业、新能源、新能源汽车、高端装备制造业和</w:t>
      </w:r>
      <w:r>
        <w:rPr>
          <w:rFonts w:hint="eastAsia" w:ascii="楷体" w:hAnsi="楷体" w:eastAsia="楷体" w:cs="楷体"/>
          <w:sz w:val="28"/>
          <w:szCs w:val="28"/>
          <w:lang w:eastAsia="zh-CN"/>
        </w:rPr>
        <w:fldChar w:fldCharType="begin"/>
      </w:r>
      <w:r>
        <w:rPr>
          <w:rFonts w:hint="eastAsia" w:ascii="楷体" w:hAnsi="楷体" w:eastAsia="楷体" w:cs="楷体"/>
          <w:sz w:val="28"/>
          <w:szCs w:val="28"/>
          <w:lang w:eastAsia="zh-CN"/>
        </w:rPr>
        <w:instrText xml:space="preserve"> HYPERLINK "http://baike.baidu.com/view/270442.htm" \t "http://baike.baidu.com/_blank" </w:instrText>
      </w:r>
      <w:r>
        <w:rPr>
          <w:rFonts w:hint="eastAsia" w:ascii="楷体" w:hAnsi="楷体" w:eastAsia="楷体" w:cs="楷体"/>
          <w:sz w:val="28"/>
          <w:szCs w:val="28"/>
          <w:lang w:eastAsia="zh-CN"/>
        </w:rPr>
        <w:fldChar w:fldCharType="separate"/>
      </w:r>
      <w:r>
        <w:rPr>
          <w:rFonts w:hint="eastAsia" w:ascii="楷体" w:hAnsi="楷体" w:eastAsia="楷体" w:cs="楷体"/>
          <w:sz w:val="28"/>
          <w:szCs w:val="28"/>
          <w:lang w:eastAsia="zh-CN"/>
        </w:rPr>
        <w:t>新材料</w:t>
      </w:r>
      <w:r>
        <w:rPr>
          <w:rFonts w:hint="eastAsia" w:ascii="楷体" w:hAnsi="楷体" w:eastAsia="楷体" w:cs="楷体"/>
          <w:sz w:val="28"/>
          <w:szCs w:val="28"/>
          <w:lang w:eastAsia="zh-CN"/>
        </w:rPr>
        <w:fldChar w:fldCharType="end"/>
      </w:r>
      <w:r>
        <w:rPr>
          <w:rFonts w:hint="eastAsia" w:ascii="楷体" w:hAnsi="楷体" w:eastAsia="楷体" w:cs="楷体"/>
          <w:sz w:val="28"/>
          <w:szCs w:val="28"/>
          <w:lang w:eastAsia="zh-CN"/>
        </w:rPr>
        <w:t>。</w:t>
      </w:r>
    </w:p>
    <w:p>
      <w:pPr>
        <w:rPr>
          <w:rFonts w:hint="eastAsia" w:ascii="楷体" w:hAnsi="楷体" w:eastAsia="楷体" w:cs="楷体"/>
          <w:sz w:val="28"/>
          <w:szCs w:val="28"/>
        </w:rPr>
      </w:pPr>
      <w:r>
        <w:rPr>
          <w:rFonts w:hint="eastAsia" w:ascii="楷体" w:hAnsi="楷体" w:eastAsia="楷体" w:cs="楷体"/>
          <w:b/>
          <w:bCs/>
          <w:sz w:val="28"/>
          <w:szCs w:val="28"/>
          <w:lang w:val="en-US" w:eastAsia="zh-CN"/>
        </w:rPr>
        <w:t xml:space="preserve">    16、</w:t>
      </w:r>
      <w:r>
        <w:rPr>
          <w:rFonts w:hint="eastAsia" w:ascii="楷体" w:hAnsi="楷体" w:eastAsia="楷体" w:cs="楷体"/>
          <w:b/>
          <w:bCs/>
          <w:sz w:val="28"/>
          <w:szCs w:val="28"/>
        </w:rPr>
        <w:t>精准扶贫</w:t>
      </w:r>
      <w:r>
        <w:rPr>
          <w:rFonts w:hint="eastAsia" w:ascii="楷体" w:hAnsi="楷体" w:eastAsia="楷体" w:cs="楷体"/>
          <w:b/>
          <w:bCs/>
          <w:sz w:val="28"/>
          <w:szCs w:val="28"/>
          <w:lang w:eastAsia="zh-CN"/>
        </w:rPr>
        <w:t>：</w:t>
      </w:r>
      <w:r>
        <w:rPr>
          <w:rFonts w:hint="eastAsia" w:ascii="楷体" w:hAnsi="楷体" w:eastAsia="楷体" w:cs="楷体"/>
          <w:sz w:val="28"/>
          <w:szCs w:val="28"/>
          <w:lang w:eastAsia="zh-CN"/>
        </w:rPr>
        <w:t>是粗放扶贫的对称，是指针对不同贫困区域环境、不同贫困农户状况，运用科学有效程序对扶贫对象实施精确识别、精确帮扶、精确管理的治贫方式。一般来说，精准扶贫主要是就贫困居民而言的，谁贫困就扶持谁。</w:t>
      </w:r>
    </w:p>
    <w:p>
      <w:pPr>
        <w:rPr>
          <w:rFonts w:hint="eastAsia" w:ascii="仿宋_GB2312" w:eastAsia="仿宋_GB2312"/>
          <w:sz w:val="32"/>
          <w:szCs w:val="32"/>
          <w:lang w:val="en-US" w:eastAsia="zh-CN"/>
        </w:rPr>
      </w:pPr>
    </w:p>
    <w:p>
      <w:pPr>
        <w:pageBreakBefore w:val="0"/>
        <w:kinsoku/>
        <w:wordWrap/>
        <w:overflowPunct w:val="0"/>
        <w:topLinePunct w:val="0"/>
        <w:bidi w:val="0"/>
        <w:ind w:right="0" w:rightChars="0"/>
        <w:rPr>
          <w:rFonts w:hint="eastAsia" w:ascii="仿宋_GB2312" w:eastAsia="仿宋_GB2312"/>
          <w:sz w:val="32"/>
          <w:szCs w:val="32"/>
          <w:lang w:eastAsia="zh-CN"/>
        </w:rPr>
      </w:pPr>
    </w:p>
    <w:sectPr>
      <w:footerReference r:id="rId10" w:type="default"/>
      <w:pgSz w:w="11906" w:h="16838"/>
      <w:pgMar w:top="2098" w:right="1531" w:bottom="1418" w:left="1531" w:header="851" w:footer="992" w:gutter="0"/>
      <w:pgBorders>
        <w:top w:val="none" w:color="auto" w:sz="0" w:space="0"/>
        <w:left w:val="none" w:color="auto" w:sz="0" w:space="0"/>
        <w:bottom w:val="none" w:color="auto" w:sz="0" w:space="0"/>
        <w:right w:val="none" w:color="auto" w:sz="0" w:space="0"/>
      </w:pgBorders>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楷体">
    <w:panose1 w:val="02010609060101010101"/>
    <w:charset w:val="86"/>
    <w:family w:val="roma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大标宋简体">
    <w:altName w:val="微软雅黑"/>
    <w:panose1 w:val="02010601030101010101"/>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roman"/>
    <w:pitch w:val="default"/>
    <w:sig w:usb0="800002BF" w:usb1="38CF7CFA" w:usb2="00000016" w:usb3="00000000" w:csb0="00040001" w:csb1="00000000"/>
  </w:font>
  <w:font w:name="仿宋_GB2312">
    <w:panose1 w:val="02010609030101010101"/>
    <w:charset w:val="86"/>
    <w:family w:val="roma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_GB2312">
    <w:panose1 w:val="02010609030101010101"/>
    <w:charset w:val="86"/>
    <w:family w:val="swiss"/>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仿宋_GB2312">
    <w:panose1 w:val="02010609030101010101"/>
    <w:charset w:val="86"/>
    <w:family w:val="decorative"/>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Calibri Light">
    <w:panose1 w:val="020F0302020204030204"/>
    <w:charset w:val="00"/>
    <w:family w:val="auto"/>
    <w:pitch w:val="default"/>
    <w:sig w:usb0="A00002EF" w:usb1="4000207B" w:usb2="00000000" w:usb3="00000000" w:csb0="2000019F" w:csb1="00000000"/>
  </w:font>
  <w:font w:name="新宋体">
    <w:panose1 w:val="02010609030101010101"/>
    <w:charset w:val="86"/>
    <w:family w:val="auto"/>
    <w:pitch w:val="default"/>
    <w:sig w:usb0="00000003" w:usb1="288F0000" w:usb2="00000006" w:usb3="00000000" w:csb0="00040001" w:csb1="00000000"/>
  </w:font>
  <w:font w:name="方正兰亭超细黑简体">
    <w:panose1 w:val="02000000000000000000"/>
    <w:charset w:val="86"/>
    <w:family w:val="auto"/>
    <w:pitch w:val="default"/>
    <w:sig w:usb0="00000001" w:usb1="08000000" w:usb2="00000000" w:usb3="00000000" w:csb0="00040000" w:csb1="00000000"/>
  </w:font>
  <w:font w:name="DFKai-SB">
    <w:panose1 w:val="03000509000000000000"/>
    <w:charset w:val="88"/>
    <w:family w:val="auto"/>
    <w:pitch w:val="default"/>
    <w:sig w:usb0="00000003" w:usb1="082E0000" w:usb2="00000016" w:usb3="00000000" w:csb0="00100001" w:csb1="00000000"/>
  </w:font>
  <w:font w:name="Meiryo">
    <w:panose1 w:val="020B0604030504040204"/>
    <w:charset w:val="80"/>
    <w:family w:val="auto"/>
    <w:pitch w:val="default"/>
    <w:sig w:usb0="E10102FF" w:usb1="EAC7FFFF" w:usb2="00010012" w:usb3="00000000" w:csb0="6002009F" w:csb1="DFD70000"/>
  </w:font>
  <w:font w:name="Microsoft JhengHei">
    <w:panose1 w:val="020B0604030504040204"/>
    <w:charset w:val="88"/>
    <w:family w:val="auto"/>
    <w:pitch w:val="default"/>
    <w:sig w:usb0="00000087" w:usb1="28AF4000" w:usb2="00000016" w:usb3="00000000" w:csb0="00100009" w:csb1="00000000"/>
  </w:font>
  <w:font w:name="MingLiU_HKSCS">
    <w:panose1 w:val="02020500000000000000"/>
    <w:charset w:val="88"/>
    <w:family w:val="auto"/>
    <w:pitch w:val="default"/>
    <w:sig w:usb0="A00002FF" w:usb1="38CFFCFA" w:usb2="00000016" w:usb3="00000000" w:csb0="00100001" w:csb1="00000000"/>
  </w:font>
  <w:font w:name="MingLiU-ExtB">
    <w:panose1 w:val="02020500000000000000"/>
    <w:charset w:val="88"/>
    <w:family w:val="auto"/>
    <w:pitch w:val="default"/>
    <w:sig w:usb0="8000002F" w:usb1="02000008" w:usb2="00000000" w:usb3="00000000" w:csb0="00100001" w:csb1="00000000"/>
  </w:font>
  <w:font w:name="MS Mincho">
    <w:panose1 w:val="02020609040205080304"/>
    <w:charset w:val="80"/>
    <w:family w:val="auto"/>
    <w:pitch w:val="default"/>
    <w:sig w:usb0="E00002FF" w:usb1="6AC7FDFB" w:usb2="00000012" w:usb3="00000000" w:csb0="4002009F" w:csb1="DFD70000"/>
  </w:font>
  <w:font w:name="MS PMincho">
    <w:panose1 w:val="02020600040205080304"/>
    <w:charset w:val="80"/>
    <w:family w:val="auto"/>
    <w:pitch w:val="default"/>
    <w:sig w:usb0="E00002FF" w:usb1="6AC7FDFB" w:usb2="00000012" w:usb3="00000000" w:csb0="4002009F" w:csb1="DFD70000"/>
  </w:font>
  <w:font w:name="MS PGothic">
    <w:panose1 w:val="020B0600070205080204"/>
    <w:charset w:val="80"/>
    <w:family w:val="auto"/>
    <w:pitch w:val="default"/>
    <w:sig w:usb0="E00002FF" w:usb1="6AC7FDFB" w:usb2="00000012" w:usb3="00000000" w:csb0="4002009F" w:csb1="DFD70000"/>
  </w:font>
  <w:font w:name="MS UI Gothic">
    <w:panose1 w:val="020B0600070205080204"/>
    <w:charset w:val="80"/>
    <w:family w:val="auto"/>
    <w:pitch w:val="default"/>
    <w:sig w:usb0="E00002FF" w:usb1="6AC7FDFB" w:usb2="00000012" w:usb3="00000000" w:csb0="4002009F" w:csb1="DFD70000"/>
  </w:font>
  <w:font w:name="04b_21">
    <w:panose1 w:val="00000400000000000000"/>
    <w:charset w:val="00"/>
    <w:family w:val="auto"/>
    <w:pitch w:val="default"/>
    <w:sig w:usb0="00000000" w:usb1="00000000" w:usb2="00000000" w:usb3="00000000" w:csb0="00000000" w:csb1="00000000"/>
  </w:font>
  <w:font w:name="AngsanaUPC">
    <w:panose1 w:val="02020603050405020304"/>
    <w:charset w:val="00"/>
    <w:family w:val="auto"/>
    <w:pitch w:val="default"/>
    <w:sig w:usb0="81000003" w:usb1="00000000" w:usb2="00000000" w:usb3="00000000" w:csb0="00010001" w:csb1="00000000"/>
  </w:font>
  <w:font w:name="Arial">
    <w:panose1 w:val="020B0604020202020204"/>
    <w:charset w:val="00"/>
    <w:family w:val="auto"/>
    <w:pitch w:val="default"/>
    <w:sig w:usb0="E0002AFF" w:usb1="C0007843" w:usb2="00000009" w:usb3="00000000" w:csb0="400001FF" w:csb1="FFFF0000"/>
  </w:font>
  <w:font w:name="Arial Narrow">
    <w:panose1 w:val="020B0606020202030204"/>
    <w:charset w:val="00"/>
    <w:family w:val="auto"/>
    <w:pitch w:val="default"/>
    <w:sig w:usb0="00000287" w:usb1="00000800" w:usb2="00000000" w:usb3="00000000" w:csb0="2000009F" w:csb1="DFD70000"/>
  </w:font>
  <w:font w:name="Book Antiqua">
    <w:panose1 w:val="02040602050305030304"/>
    <w:charset w:val="00"/>
    <w:family w:val="auto"/>
    <w:pitch w:val="default"/>
    <w:sig w:usb0="00000287" w:usb1="00000000" w:usb2="00000000" w:usb3="00000000" w:csb0="2000009F" w:csb1="DFD70000"/>
  </w:font>
  <w:font w:name="Bookman Old Style">
    <w:panose1 w:val="02050604050505020204"/>
    <w:charset w:val="00"/>
    <w:family w:val="auto"/>
    <w:pitch w:val="default"/>
    <w:sig w:usb0="00000287" w:usb1="00000000" w:usb2="00000000" w:usb3="00000000" w:csb0="2000009F" w:csb1="DFD70000"/>
  </w:font>
  <w:font w:name="Bookshelf Symbol 7">
    <w:panose1 w:val="05010101010101010101"/>
    <w:charset w:val="00"/>
    <w:family w:val="auto"/>
    <w:pitch w:val="default"/>
    <w:sig w:usb0="00000000" w:usb1="00000000" w:usb2="00000000" w:usb3="00000000" w:csb0="80000000" w:csb1="00000000"/>
  </w:font>
  <w:font w:name="Browallia New">
    <w:panose1 w:val="020B0604020202020204"/>
    <w:charset w:val="00"/>
    <w:family w:val="auto"/>
    <w:pitch w:val="default"/>
    <w:sig w:usb0="81000003" w:usb1="00000000" w:usb2="00000000" w:usb3="00000000" w:csb0="00010001" w:csb1="00000000"/>
  </w:font>
  <w:font w:name="Cambria Math">
    <w:panose1 w:val="02040503050406030204"/>
    <w:charset w:val="00"/>
    <w:family w:val="auto"/>
    <w:pitch w:val="default"/>
    <w:sig w:usb0="E00002FF" w:usb1="420024FF" w:usb2="00000000" w:usb3="00000000" w:csb0="2000019F" w:csb1="00000000"/>
  </w:font>
  <w:font w:name="Candara">
    <w:panose1 w:val="020E0502030303020204"/>
    <w:charset w:val="00"/>
    <w:family w:val="auto"/>
    <w:pitch w:val="default"/>
    <w:sig w:usb0="A00002EF" w:usb1="4000A44B" w:usb2="00000000" w:usb3="00000000" w:csb0="2000019F" w:csb1="00000000"/>
  </w:font>
  <w:font w:name="Comic Sans MS">
    <w:panose1 w:val="030F0702030302020204"/>
    <w:charset w:val="00"/>
    <w:family w:val="auto"/>
    <w:pitch w:val="default"/>
    <w:sig w:usb0="00000287" w:usb1="40000013" w:usb2="00000000" w:usb3="00000000" w:csb0="2000009F" w:csb1="00000000"/>
  </w:font>
  <w:font w:name="Constantia">
    <w:panose1 w:val="02030602050306030303"/>
    <w:charset w:val="00"/>
    <w:family w:val="auto"/>
    <w:pitch w:val="default"/>
    <w:sig w:usb0="A00002EF" w:usb1="4000204B" w:usb2="00000000" w:usb3="00000000" w:csb0="2000019F" w:csb1="00000000"/>
  </w:font>
  <w:font w:name="Cordia New">
    <w:panose1 w:val="020B0304020202020204"/>
    <w:charset w:val="00"/>
    <w:family w:val="auto"/>
    <w:pitch w:val="default"/>
    <w:sig w:usb0="81000003" w:usb1="00000000" w:usb2="00000000" w:usb3="00000000" w:csb0="00010001" w:csb1="00000000"/>
  </w:font>
  <w:font w:name="DaunPenh">
    <w:panose1 w:val="01010101010101010101"/>
    <w:charset w:val="00"/>
    <w:family w:val="auto"/>
    <w:pitch w:val="default"/>
    <w:sig w:usb0="00000003" w:usb1="00000000" w:usb2="00010000" w:usb3="00000000" w:csb0="00000001" w:csb1="00000000"/>
  </w:font>
  <w:font w:name="Courier New">
    <w:panose1 w:val="02070309020205020404"/>
    <w:charset w:val="00"/>
    <w:family w:val="auto"/>
    <w:pitch w:val="default"/>
    <w:sig w:usb0="E0002AFF" w:usb1="C0007843" w:usb2="00000009" w:usb3="00000000" w:csb0="400001FF" w:csb1="FFFF0000"/>
  </w:font>
  <w:font w:name="DilleniaUPC">
    <w:panose1 w:val="02020603050405020304"/>
    <w:charset w:val="00"/>
    <w:family w:val="auto"/>
    <w:pitch w:val="default"/>
    <w:sig w:usb0="81000027" w:usb1="00000002" w:usb2="00000000" w:usb3="00000000" w:csb0="00010001" w:csb1="00000000"/>
  </w:font>
  <w:font w:name="DokChampa">
    <w:panose1 w:val="020B0604020202020204"/>
    <w:charset w:val="00"/>
    <w:family w:val="auto"/>
    <w:pitch w:val="default"/>
    <w:sig w:usb0="03000003" w:usb1="00000000" w:usb2="00000000" w:usb3="00000000" w:csb0="40010001" w:csb1="00000000"/>
  </w:font>
  <w:font w:name="David">
    <w:panose1 w:val="020E0502060401010101"/>
    <w:charset w:val="00"/>
    <w:family w:val="auto"/>
    <w:pitch w:val="default"/>
    <w:sig w:usb0="00000801" w:usb1="00000000" w:usb2="00000000" w:usb3="00000000" w:csb0="00000020" w:csb1="00200000"/>
  </w:font>
  <w:font w:name="Meiryo UI">
    <w:panose1 w:val="020B0604030504040204"/>
    <w:charset w:val="80"/>
    <w:family w:val="auto"/>
    <w:pitch w:val="default"/>
    <w:sig w:usb0="E10102FF" w:usb1="EAC7FFFF" w:usb2="00010012" w:usb3="00000000" w:csb0="6002009F" w:csb1="DFD70000"/>
  </w:font>
  <w:font w:name="MingLiU">
    <w:panose1 w:val="02020509000000000000"/>
    <w:charset w:val="88"/>
    <w:family w:val="auto"/>
    <w:pitch w:val="default"/>
    <w:sig w:usb0="A00002FF" w:usb1="28CFFCFA" w:usb2="00000016" w:usb3="00000000" w:csb0="00100001" w:csb1="00000000"/>
  </w:font>
  <w:font w:name="MingLiU_HKSCS-ExtB">
    <w:panose1 w:val="02020500000000000000"/>
    <w:charset w:val="88"/>
    <w:family w:val="auto"/>
    <w:pitch w:val="default"/>
    <w:sig w:usb0="8000002F" w:usb1="02000008" w:usb2="00000000" w:usb3="00000000" w:csb0="00100001" w:csb1="00000000"/>
  </w:font>
  <w:font w:name="MS Gothic">
    <w:panose1 w:val="020B0609070205080204"/>
    <w:charset w:val="80"/>
    <w:family w:val="auto"/>
    <w:pitch w:val="default"/>
    <w:sig w:usb0="E00002FF" w:usb1="6AC7FDFB" w:usb2="00000012" w:usb3="00000000" w:csb0="4002009F" w:csb1="DFD70000"/>
  </w:font>
  <w:font w:name="PMingLiU-ExtB">
    <w:panose1 w:val="02020500000000000000"/>
    <w:charset w:val="88"/>
    <w:family w:val="auto"/>
    <w:pitch w:val="default"/>
    <w:sig w:usb0="8000002F" w:usb1="02000008" w:usb2="00000000" w:usb3="00000000" w:csb0="00100001" w:csb1="00000000"/>
  </w:font>
  <w:font w:name="SimSun-ExtB">
    <w:panose1 w:val="02010609060101010101"/>
    <w:charset w:val="86"/>
    <w:family w:val="auto"/>
    <w:pitch w:val="default"/>
    <w:sig w:usb0="00000001" w:usb1="02000000" w:usb2="00000000" w:usb3="00000000" w:csb0="00040001" w:csb1="00000000"/>
  </w:font>
  <w:font w:name="Andalus">
    <w:panose1 w:val="02020603050405020304"/>
    <w:charset w:val="00"/>
    <w:family w:val="auto"/>
    <w:pitch w:val="default"/>
    <w:sig w:usb0="00002003" w:usb1="80000000" w:usb2="00000008" w:usb3="00000000" w:csb0="00000041" w:csb1="20080000"/>
  </w:font>
  <w:font w:name="Arabic Typesetting">
    <w:panose1 w:val="03020402040406030203"/>
    <w:charset w:val="00"/>
    <w:family w:val="auto"/>
    <w:pitch w:val="default"/>
    <w:sig w:usb0="A000206F" w:usb1="C0000000" w:usb2="00000008" w:usb3="00000000" w:csb0="200000D3" w:csb1="00000000"/>
  </w:font>
  <w:font w:name="Arial Black">
    <w:panose1 w:val="020B0A04020102020204"/>
    <w:charset w:val="00"/>
    <w:family w:val="auto"/>
    <w:pitch w:val="default"/>
    <w:sig w:usb0="00000287" w:usb1="00000000" w:usb2="00000000" w:usb3="00000000" w:csb0="2000009F" w:csb1="DFD70000"/>
  </w:font>
  <w:font w:name="Corbel">
    <w:panose1 w:val="020B0503020204020204"/>
    <w:charset w:val="00"/>
    <w:family w:val="auto"/>
    <w:pitch w:val="default"/>
    <w:sig w:usb0="A00002EF" w:usb1="4000A44B" w:usb2="00000000" w:usb3="00000000" w:csb0="2000019F" w:csb1="00000000"/>
  </w:font>
  <w:font w:name="EucrosiaUPC">
    <w:panose1 w:val="02020603050405020304"/>
    <w:charset w:val="00"/>
    <w:family w:val="auto"/>
    <w:pitch w:val="default"/>
    <w:sig w:usb0="81000027" w:usb1="00000002" w:usb2="00000000" w:usb3="00000000" w:csb0="00010001" w:csb1="00000000"/>
  </w:font>
  <w:font w:name="FrankRuehl">
    <w:panose1 w:val="020E0503060101010101"/>
    <w:charset w:val="00"/>
    <w:family w:val="auto"/>
    <w:pitch w:val="default"/>
    <w:sig w:usb0="00000801" w:usb1="00000000" w:usb2="00000000" w:usb3="00000000" w:csb0="00000020" w:csb1="00200000"/>
  </w:font>
  <w:font w:name="Georgia">
    <w:panose1 w:val="02040502050405020303"/>
    <w:charset w:val="00"/>
    <w:family w:val="auto"/>
    <w:pitch w:val="default"/>
    <w:sig w:usb0="00000287" w:usb1="00000000" w:usb2="00000000" w:usb3="00000000" w:csb0="2000009F" w:csb1="00000000"/>
  </w:font>
  <w:font w:name="Kalinga">
    <w:panose1 w:val="020B0502040204020203"/>
    <w:charset w:val="00"/>
    <w:family w:val="auto"/>
    <w:pitch w:val="default"/>
    <w:sig w:usb0="00080003" w:usb1="00000000" w:usb2="00000000" w:usb3="00000000" w:csb0="00000001" w:csb1="00000000"/>
  </w:font>
  <w:font w:name="KodchiangUPC">
    <w:panose1 w:val="02020603050405020304"/>
    <w:charset w:val="00"/>
    <w:family w:val="auto"/>
    <w:pitch w:val="default"/>
    <w:sig w:usb0="01000007" w:usb1="00000002" w:usb2="00000000" w:usb3="00000000" w:csb0="00010001" w:csb1="00000000"/>
  </w:font>
  <w:font w:name="Latha">
    <w:panose1 w:val="020B0604020202020204"/>
    <w:charset w:val="00"/>
    <w:family w:val="auto"/>
    <w:pitch w:val="default"/>
    <w:sig w:usb0="00100003" w:usb1="00000000" w:usb2="00000000" w:usb3="00000000" w:csb0="00000001" w:csb1="00000000"/>
  </w:font>
  <w:font w:name="Lucida Sans Unicode">
    <w:panose1 w:val="020B0602030504020204"/>
    <w:charset w:val="00"/>
    <w:family w:val="auto"/>
    <w:pitch w:val="default"/>
    <w:sig w:usb0="80001AFF" w:usb1="0000396B" w:usb2="00000000" w:usb3="00000000" w:csb0="200000BF" w:csb1="D7F70000"/>
  </w:font>
  <w:font w:name="Mangal">
    <w:panose1 w:val="02040503050203030202"/>
    <w:charset w:val="00"/>
    <w:family w:val="auto"/>
    <w:pitch w:val="default"/>
    <w:sig w:usb0="00008003" w:usb1="00000000" w:usb2="00000000" w:usb3="00000000" w:csb0="00000001" w:csb1="00000000"/>
  </w:font>
  <w:font w:name="Marlett">
    <w:panose1 w:val="00000000000000000000"/>
    <w:charset w:val="00"/>
    <w:family w:val="auto"/>
    <w:pitch w:val="default"/>
    <w:sig w:usb0="00000000" w:usb1="00000000" w:usb2="00000000" w:usb3="00000000" w:csb0="80000000" w:csb1="00000000"/>
  </w:font>
  <w:font w:name="Microsoft Uighur">
    <w:panose1 w:val="02000000000000000000"/>
    <w:charset w:val="00"/>
    <w:family w:val="auto"/>
    <w:pitch w:val="default"/>
    <w:sig w:usb0="00002003" w:usb1="80000000" w:usb2="00000008" w:usb3="00000000" w:csb0="00000041" w:csb1="00000000"/>
  </w:font>
  <w:font w:name="MS Reference Specialty">
    <w:panose1 w:val="05000500000000000000"/>
    <w:charset w:val="00"/>
    <w:family w:val="auto"/>
    <w:pitch w:val="default"/>
    <w:sig w:usb0="00000000" w:usb1="00000000" w:usb2="00000000" w:usb3="00000000" w:csb0="80000000" w:csb1="00000000"/>
  </w:font>
  <w:font w:name="Segoe UI">
    <w:panose1 w:val="020B0502040204020203"/>
    <w:charset w:val="00"/>
    <w:family w:val="auto"/>
    <w:pitch w:val="default"/>
    <w:sig w:usb0="E10022FF" w:usb1="C000E47F" w:usb2="00000029" w:usb3="00000000" w:csb0="200001DF" w:csb1="20000000"/>
  </w:font>
  <w:font w:name="Segoe UI Semibold">
    <w:panose1 w:val="020B0702040204020203"/>
    <w:charset w:val="00"/>
    <w:family w:val="auto"/>
    <w:pitch w:val="default"/>
    <w:sig w:usb0="E00002FF" w:usb1="4000A47B" w:usb2="00000001" w:usb3="00000000" w:csb0="2000019F" w:csb1="00000000"/>
  </w:font>
  <w:font w:name="Shruti">
    <w:panose1 w:val="020B0502040204020203"/>
    <w:charset w:val="00"/>
    <w:family w:val="auto"/>
    <w:pitch w:val="default"/>
    <w:sig w:usb0="00040003" w:usb1="00000000" w:usb2="00000000" w:usb3="00000000" w:csb0="00000001" w:csb1="00000000"/>
  </w:font>
  <w:font w:name="Simplified Arabic">
    <w:panose1 w:val="02020603050405020304"/>
    <w:charset w:val="00"/>
    <w:family w:val="auto"/>
    <w:pitch w:val="default"/>
    <w:sig w:usb0="00002003" w:usb1="00000000" w:usb2="00000000" w:usb3="00000000" w:csb0="00000041" w:csb1="20080000"/>
  </w:font>
  <w:font w:name="Sylfaen">
    <w:panose1 w:val="010A0502050306030303"/>
    <w:charset w:val="00"/>
    <w:family w:val="auto"/>
    <w:pitch w:val="default"/>
    <w:sig w:usb0="04000687" w:usb1="00000000" w:usb2="00000000" w:usb3="00000000" w:csb0="2000009F" w:csb1="00000000"/>
  </w:font>
  <w:font w:name="楷体_GB2312">
    <w:altName w:val="楷体"/>
    <w:panose1 w:val="02010609030101010101"/>
    <w:charset w:val="86"/>
    <w:family w:val="swiss"/>
    <w:pitch w:val="default"/>
    <w:sig w:usb0="00000000" w:usb1="00000000" w:usb2="00000010" w:usb3="00000000" w:csb0="00040000" w:csb1="00000000"/>
  </w:font>
  <w:font w:name="Arial">
    <w:panose1 w:val="020B0604020202020204"/>
    <w:charset w:val="00"/>
    <w:family w:val="decorative"/>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黑体">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楷体_GB2312">
    <w:altName w:val="楷体"/>
    <w:panose1 w:val="02010609030101010101"/>
    <w:charset w:val="86"/>
    <w:family w:val="decorative"/>
    <w:pitch w:val="default"/>
    <w:sig w:usb0="00000000" w:usb1="00000000" w:usb2="00000010" w:usb3="00000000" w:csb0="00040000" w:csb1="00000000"/>
  </w:font>
  <w:font w:name="Arial">
    <w:panose1 w:val="020B0604020202020204"/>
    <w:charset w:val="00"/>
    <w:family w:val="roman"/>
    <w:pitch w:val="default"/>
    <w:sig w:usb0="E0002AFF" w:usb1="C0007843" w:usb2="00000009" w:usb3="00000000" w:csb0="400001FF" w:csb1="FFFF0000"/>
  </w:font>
  <w:font w:name="黑体">
    <w:panose1 w:val="02010609060101010101"/>
    <w:charset w:val="86"/>
    <w:family w:val="swiss"/>
    <w:pitch w:val="default"/>
    <w:sig w:usb0="800002BF" w:usb1="38CF7CFA" w:usb2="00000016" w:usb3="00000000" w:csb0="00040001" w:csb1="00000000"/>
  </w:font>
  <w:font w:name="楷体_GB2312">
    <w:altName w:val="楷体"/>
    <w:panose1 w:val="02010609030101010101"/>
    <w:charset w:val="86"/>
    <w:family w:val="roman"/>
    <w:pitch w:val="default"/>
    <w:sig w:usb0="00000000" w:usb1="00000000" w:usb2="00000010" w:usb3="00000000" w:csb0="00040000" w:csb1="00000000"/>
  </w:font>
  <w:font w:name="Arial">
    <w:panose1 w:val="020B0604020202020204"/>
    <w:charset w:val="00"/>
    <w:family w:val="modern"/>
    <w:pitch w:val="default"/>
    <w:sig w:usb0="E0002AFF" w:usb1="C0007843" w:usb2="00000009" w:usb3="00000000" w:csb0="400001FF" w:csb1="FFFF0000"/>
  </w:font>
  <w:font w:name="黑体">
    <w:panose1 w:val="02010609060101010101"/>
    <w:charset w:val="86"/>
    <w:family w:val="decorative"/>
    <w:pitch w:val="default"/>
    <w:sig w:usb0="800002BF" w:usb1="38CF7CFA" w:usb2="00000016" w:usb3="00000000" w:csb0="00040001" w:csb1="00000000"/>
  </w:font>
  <w:font w:name="黑体">
    <w:panose1 w:val="02010609060101010101"/>
    <w:charset w:val="86"/>
    <w:family w:val="roman"/>
    <w:pitch w:val="default"/>
    <w:sig w:usb0="800002BF" w:usb1="38CF7CFA" w:usb2="00000016" w:usb3="00000000" w:csb0="00040001" w:csb1="00000000"/>
  </w:font>
  <w:font w:name="新宋体">
    <w:panose1 w:val="02010609030101010101"/>
    <w:charset w:val="86"/>
    <w:family w:val="decorative"/>
    <w:pitch w:val="default"/>
    <w:sig w:usb0="00000003" w:usb1="288F0000" w:usb2="00000006" w:usb3="00000000" w:csb0="00040001" w:csb1="00000000"/>
  </w:font>
  <w:font w:name="Wingdings 2">
    <w:panose1 w:val="05020102010507070707"/>
    <w:charset w:val="00"/>
    <w:family w:val="auto"/>
    <w:pitch w:val="default"/>
    <w:sig w:usb0="00000000" w:usb1="00000000" w:usb2="00000000" w:usb3="00000000" w:csb0="80000000" w:csb1="00000000"/>
  </w:font>
  <w:font w:name="新宋体">
    <w:panose1 w:val="02010609030101010101"/>
    <w:charset w:val="86"/>
    <w:family w:val="roman"/>
    <w:pitch w:val="default"/>
    <w:sig w:usb0="00000003" w:usb1="288F0000" w:usb2="00000006" w:usb3="00000000" w:csb0="00040001" w:csb1="00000000"/>
  </w:font>
  <w:font w:name="新宋体">
    <w:panose1 w:val="02010609030101010101"/>
    <w:charset w:val="86"/>
    <w:family w:val="modern"/>
    <w:pitch w:val="default"/>
    <w:sig w:usb0="00000003" w:usb1="288F0000" w:usb2="00000006" w:usb3="00000000" w:csb0="00040001" w:csb1="00000000"/>
  </w:font>
  <w:font w:name="新宋体">
    <w:panose1 w:val="02010609030101010101"/>
    <w:charset w:val="86"/>
    <w:family w:val="swiss"/>
    <w:pitch w:val="default"/>
    <w:sig w:usb0="00000003" w:usb1="288F0000" w:usb2="00000006" w:usb3="00000000" w:csb0="00040001" w:csb1="00000000"/>
  </w:font>
  <w:font w:name="MicrosoftYaHei">
    <w:altName w:val="宋体"/>
    <w:panose1 w:val="00000000000000000000"/>
    <w:charset w:val="00"/>
    <w:family w:val="auto"/>
    <w:pitch w:val="default"/>
    <w:sig w:usb0="00000000" w:usb1="00000000" w:usb2="00000000" w:usb3="00000000" w:csb0="00040001" w:csb1="00000000"/>
  </w:font>
  <w:font w:name="方正小标宋简体">
    <w:panose1 w:val="02010601030101010101"/>
    <w:charset w:val="86"/>
    <w:family w:val="script"/>
    <w:pitch w:val="default"/>
    <w:sig w:usb0="00000001" w:usb1="080E0000" w:usb2="00000000" w:usb3="00000000" w:csb0="00040000" w:csb1="00000000"/>
  </w:font>
  <w:font w:name="方正大标宋简体">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script"/>
    <w:pitch w:val="default"/>
    <w:sig w:usb0="80000287" w:usb1="280F3C52" w:usb2="00000016" w:usb3="00000000" w:csb0="0004001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4"/>
      <w:framePr w:wrap="around" w:vAnchor="text" w:hAnchor="margin" w:xAlign="center" w:y="2"/>
      <w:rPr>
        <w:rStyle w:val="9"/>
      </w:rPr>
    </w:pPr>
    <w:r>
      <w:fldChar w:fldCharType="begin"/>
    </w:r>
    <w:r>
      <w:rPr>
        <w:rStyle w:val="9"/>
      </w:rPr>
      <w:instrText xml:space="preserve">PAGE  </w:instrText>
    </w:r>
    <w:r>
      <w:fldChar w:fldCharType="end"/>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miter/>
                      </a:ln>
                    </wps:spPr>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MqrboW5AQAAXgMAAA4AAAAAAAAAAQAgAAAAHgEAAGRycy9lMm9Eb2MueG1sUEsFBgAAAAAGAAYA&#10;WQEAAEkFAAAAAA==&#10;">
              <v:fill on="f" focussize="0,0"/>
              <v:stroke on="f" joinstyle="miter"/>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miter/>
                      </a:ln>
                    </wps:spPr>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A5EXpCugEAAF4DAAAOAAAAAAAAAAEAIAAAAB4BAABkcnMvZTJvRG9jLnhtbFBLBQYAAAAABgAG&#10;AFkBAABKBQAAAAA=&#10;">
              <v:fill on="f" focussize="0,0"/>
              <v:stroke on="f" joinstyle="miter"/>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C1CC0"/>
    <w:rsid w:val="00D47DD1"/>
    <w:rsid w:val="02385AB4"/>
    <w:rsid w:val="028210FC"/>
    <w:rsid w:val="02863634"/>
    <w:rsid w:val="028C773C"/>
    <w:rsid w:val="031B3B28"/>
    <w:rsid w:val="0333594B"/>
    <w:rsid w:val="039943F6"/>
    <w:rsid w:val="03C661BF"/>
    <w:rsid w:val="03ED3E80"/>
    <w:rsid w:val="04DF6C8C"/>
    <w:rsid w:val="04EC3DA3"/>
    <w:rsid w:val="051D6770"/>
    <w:rsid w:val="05627265"/>
    <w:rsid w:val="058C4826"/>
    <w:rsid w:val="059A3B3C"/>
    <w:rsid w:val="05BD2745"/>
    <w:rsid w:val="05C43A86"/>
    <w:rsid w:val="05F20636"/>
    <w:rsid w:val="05FE70E3"/>
    <w:rsid w:val="06495116"/>
    <w:rsid w:val="064C13E1"/>
    <w:rsid w:val="06F131F4"/>
    <w:rsid w:val="07FF20AC"/>
    <w:rsid w:val="08487F22"/>
    <w:rsid w:val="08FE7A50"/>
    <w:rsid w:val="09503FD7"/>
    <w:rsid w:val="099224C2"/>
    <w:rsid w:val="09B01A72"/>
    <w:rsid w:val="09B12D77"/>
    <w:rsid w:val="09D04526"/>
    <w:rsid w:val="09F856EA"/>
    <w:rsid w:val="0A164C9A"/>
    <w:rsid w:val="0A5237FA"/>
    <w:rsid w:val="0A876253"/>
    <w:rsid w:val="0AAA770C"/>
    <w:rsid w:val="0B072024"/>
    <w:rsid w:val="0B14133A"/>
    <w:rsid w:val="0B5224A3"/>
    <w:rsid w:val="0B832C72"/>
    <w:rsid w:val="0C4043C9"/>
    <w:rsid w:val="0D010EE5"/>
    <w:rsid w:val="0D4870DB"/>
    <w:rsid w:val="0D5F347D"/>
    <w:rsid w:val="0DA61673"/>
    <w:rsid w:val="0E247D43"/>
    <w:rsid w:val="0E434D74"/>
    <w:rsid w:val="0E6C0137"/>
    <w:rsid w:val="0F295F6C"/>
    <w:rsid w:val="0F426E96"/>
    <w:rsid w:val="0F46111F"/>
    <w:rsid w:val="0FBF1CE2"/>
    <w:rsid w:val="0FE1571A"/>
    <w:rsid w:val="10067ED8"/>
    <w:rsid w:val="104D064D"/>
    <w:rsid w:val="10534754"/>
    <w:rsid w:val="10815624"/>
    <w:rsid w:val="10C41A3A"/>
    <w:rsid w:val="10D33DA9"/>
    <w:rsid w:val="110F2909"/>
    <w:rsid w:val="111E2F24"/>
    <w:rsid w:val="12905384"/>
    <w:rsid w:val="137974FF"/>
    <w:rsid w:val="13940183"/>
    <w:rsid w:val="13B82867"/>
    <w:rsid w:val="13BC126E"/>
    <w:rsid w:val="14044EE5"/>
    <w:rsid w:val="14B33D84"/>
    <w:rsid w:val="15B06226"/>
    <w:rsid w:val="15D62BE2"/>
    <w:rsid w:val="16124FC5"/>
    <w:rsid w:val="16421F11"/>
    <w:rsid w:val="16EA4CA9"/>
    <w:rsid w:val="171C2EF9"/>
    <w:rsid w:val="17B42173"/>
    <w:rsid w:val="17E838C7"/>
    <w:rsid w:val="18376EC9"/>
    <w:rsid w:val="18BA3C1F"/>
    <w:rsid w:val="18F32AFF"/>
    <w:rsid w:val="190C5C28"/>
    <w:rsid w:val="19763FD2"/>
    <w:rsid w:val="19E67B09"/>
    <w:rsid w:val="1A1C7FE3"/>
    <w:rsid w:val="1A4E1AB7"/>
    <w:rsid w:val="1A885114"/>
    <w:rsid w:val="1A915A23"/>
    <w:rsid w:val="1B084769"/>
    <w:rsid w:val="1B1F0B0A"/>
    <w:rsid w:val="1B317B2B"/>
    <w:rsid w:val="1B4F4EDD"/>
    <w:rsid w:val="1B531365"/>
    <w:rsid w:val="1B8462B0"/>
    <w:rsid w:val="1BA05BE1"/>
    <w:rsid w:val="1C775C44"/>
    <w:rsid w:val="1C9E2280"/>
    <w:rsid w:val="1D4B149F"/>
    <w:rsid w:val="1D6E70D6"/>
    <w:rsid w:val="1D7238DD"/>
    <w:rsid w:val="1DC110DE"/>
    <w:rsid w:val="1DDC7709"/>
    <w:rsid w:val="1E081852"/>
    <w:rsid w:val="1E3723A2"/>
    <w:rsid w:val="1E6B3AF5"/>
    <w:rsid w:val="1EAC2360"/>
    <w:rsid w:val="1FA215F4"/>
    <w:rsid w:val="20327BDE"/>
    <w:rsid w:val="206B67A4"/>
    <w:rsid w:val="20726449"/>
    <w:rsid w:val="20BC55C4"/>
    <w:rsid w:val="20FB092C"/>
    <w:rsid w:val="21053439"/>
    <w:rsid w:val="213A3C94"/>
    <w:rsid w:val="21A842C7"/>
    <w:rsid w:val="223460AA"/>
    <w:rsid w:val="226A1E07"/>
    <w:rsid w:val="228A58F3"/>
    <w:rsid w:val="22B76683"/>
    <w:rsid w:val="22CC2DA5"/>
    <w:rsid w:val="23092C0A"/>
    <w:rsid w:val="23C04937"/>
    <w:rsid w:val="241D724F"/>
    <w:rsid w:val="249C779D"/>
    <w:rsid w:val="24CE37EF"/>
    <w:rsid w:val="24F05029"/>
    <w:rsid w:val="24F2052C"/>
    <w:rsid w:val="24FA33BA"/>
    <w:rsid w:val="2532276E"/>
    <w:rsid w:val="25801095"/>
    <w:rsid w:val="25816B16"/>
    <w:rsid w:val="258C4EA7"/>
    <w:rsid w:val="259C5142"/>
    <w:rsid w:val="25A847D7"/>
    <w:rsid w:val="25EB0744"/>
    <w:rsid w:val="26903450"/>
    <w:rsid w:val="26B2270B"/>
    <w:rsid w:val="26CF423A"/>
    <w:rsid w:val="26D67448"/>
    <w:rsid w:val="26F15A73"/>
    <w:rsid w:val="27555798"/>
    <w:rsid w:val="282412E8"/>
    <w:rsid w:val="283A348C"/>
    <w:rsid w:val="283B0F0D"/>
    <w:rsid w:val="284D24AC"/>
    <w:rsid w:val="28780D72"/>
    <w:rsid w:val="29A86EE6"/>
    <w:rsid w:val="29DE193E"/>
    <w:rsid w:val="29FF56F6"/>
    <w:rsid w:val="2A280AB9"/>
    <w:rsid w:val="2ACD7048"/>
    <w:rsid w:val="2ADC1861"/>
    <w:rsid w:val="2B0E7AB2"/>
    <w:rsid w:val="2B3631F4"/>
    <w:rsid w:val="2B773C5E"/>
    <w:rsid w:val="2B7B2664"/>
    <w:rsid w:val="2B971F94"/>
    <w:rsid w:val="2BAF3DB8"/>
    <w:rsid w:val="2C1837E7"/>
    <w:rsid w:val="2C6F41F6"/>
    <w:rsid w:val="2CAE175C"/>
    <w:rsid w:val="2CC61C64"/>
    <w:rsid w:val="2CE079AD"/>
    <w:rsid w:val="2CF96358"/>
    <w:rsid w:val="2D466457"/>
    <w:rsid w:val="2D73499D"/>
    <w:rsid w:val="2D7F4033"/>
    <w:rsid w:val="2D8404BB"/>
    <w:rsid w:val="2ECE7632"/>
    <w:rsid w:val="2F411665"/>
    <w:rsid w:val="2F6359DD"/>
    <w:rsid w:val="2FB616D4"/>
    <w:rsid w:val="2FC05867"/>
    <w:rsid w:val="2FD00080"/>
    <w:rsid w:val="30740B8E"/>
    <w:rsid w:val="30CF21A1"/>
    <w:rsid w:val="31025E73"/>
    <w:rsid w:val="312241A9"/>
    <w:rsid w:val="31701D2A"/>
    <w:rsid w:val="3174292F"/>
    <w:rsid w:val="321118B3"/>
    <w:rsid w:val="32460A89"/>
    <w:rsid w:val="32C37159"/>
    <w:rsid w:val="32E64D8F"/>
    <w:rsid w:val="336743E3"/>
    <w:rsid w:val="336C1C5F"/>
    <w:rsid w:val="33835F12"/>
    <w:rsid w:val="33FD5BDC"/>
    <w:rsid w:val="340D25F3"/>
    <w:rsid w:val="342F3E2C"/>
    <w:rsid w:val="343659B5"/>
    <w:rsid w:val="34504361"/>
    <w:rsid w:val="34594C70"/>
    <w:rsid w:val="347A51A5"/>
    <w:rsid w:val="34964AD5"/>
    <w:rsid w:val="34A5186D"/>
    <w:rsid w:val="34D90A42"/>
    <w:rsid w:val="34E46DD3"/>
    <w:rsid w:val="353558D8"/>
    <w:rsid w:val="35522C8A"/>
    <w:rsid w:val="360601AF"/>
    <w:rsid w:val="3640380C"/>
    <w:rsid w:val="365C4C17"/>
    <w:rsid w:val="365F04F4"/>
    <w:rsid w:val="36B315CD"/>
    <w:rsid w:val="36D10B7D"/>
    <w:rsid w:val="376513F0"/>
    <w:rsid w:val="37720706"/>
    <w:rsid w:val="385E740A"/>
    <w:rsid w:val="38785A35"/>
    <w:rsid w:val="38D160C4"/>
    <w:rsid w:val="38FC020D"/>
    <w:rsid w:val="39C037CE"/>
    <w:rsid w:val="3A082A1A"/>
    <w:rsid w:val="3A0E134F"/>
    <w:rsid w:val="3A5926C8"/>
    <w:rsid w:val="3AB030D6"/>
    <w:rsid w:val="3AC8077D"/>
    <w:rsid w:val="3AD24A44"/>
    <w:rsid w:val="3AD76819"/>
    <w:rsid w:val="3B8407FC"/>
    <w:rsid w:val="3BD00FAF"/>
    <w:rsid w:val="3C417FEA"/>
    <w:rsid w:val="3C841D58"/>
    <w:rsid w:val="3CC94A4B"/>
    <w:rsid w:val="3CE27B73"/>
    <w:rsid w:val="3CE477F3"/>
    <w:rsid w:val="3D8263F7"/>
    <w:rsid w:val="3D87287F"/>
    <w:rsid w:val="3DB94353"/>
    <w:rsid w:val="3E787C09"/>
    <w:rsid w:val="3EE06334"/>
    <w:rsid w:val="3F0377ED"/>
    <w:rsid w:val="3F3073B8"/>
    <w:rsid w:val="3F397CC7"/>
    <w:rsid w:val="3F934EDE"/>
    <w:rsid w:val="408469E4"/>
    <w:rsid w:val="41471FA6"/>
    <w:rsid w:val="41916F22"/>
    <w:rsid w:val="41980AAB"/>
    <w:rsid w:val="41A24C3E"/>
    <w:rsid w:val="41D97316"/>
    <w:rsid w:val="41F66C78"/>
    <w:rsid w:val="427D7E24"/>
    <w:rsid w:val="42864EB0"/>
    <w:rsid w:val="42CF65A9"/>
    <w:rsid w:val="42D32DB1"/>
    <w:rsid w:val="42E21D47"/>
    <w:rsid w:val="42EC00D8"/>
    <w:rsid w:val="42F567E9"/>
    <w:rsid w:val="432D21C6"/>
    <w:rsid w:val="43B655A2"/>
    <w:rsid w:val="441B2D48"/>
    <w:rsid w:val="44536725"/>
    <w:rsid w:val="454724B5"/>
    <w:rsid w:val="459638BA"/>
    <w:rsid w:val="45973539"/>
    <w:rsid w:val="460076E6"/>
    <w:rsid w:val="46431454"/>
    <w:rsid w:val="4677642B"/>
    <w:rsid w:val="467D0334"/>
    <w:rsid w:val="46C30AA8"/>
    <w:rsid w:val="46D42F41"/>
    <w:rsid w:val="46F25D74"/>
    <w:rsid w:val="472055BF"/>
    <w:rsid w:val="479F1710"/>
    <w:rsid w:val="47A45B98"/>
    <w:rsid w:val="47AB2FA4"/>
    <w:rsid w:val="480C0F07"/>
    <w:rsid w:val="482664DF"/>
    <w:rsid w:val="48B56CDA"/>
    <w:rsid w:val="48BF75E9"/>
    <w:rsid w:val="48C920F7"/>
    <w:rsid w:val="48C97EF9"/>
    <w:rsid w:val="48E674A9"/>
    <w:rsid w:val="48EC5B2F"/>
    <w:rsid w:val="48F5643E"/>
    <w:rsid w:val="493375A8"/>
    <w:rsid w:val="49A068D7"/>
    <w:rsid w:val="4A1A65A1"/>
    <w:rsid w:val="4A70372C"/>
    <w:rsid w:val="4A884657"/>
    <w:rsid w:val="4AD9315C"/>
    <w:rsid w:val="4B236A53"/>
    <w:rsid w:val="4B5F0E37"/>
    <w:rsid w:val="4BA076A2"/>
    <w:rsid w:val="4BAD3134"/>
    <w:rsid w:val="4C484637"/>
    <w:rsid w:val="4C501A44"/>
    <w:rsid w:val="4C8A729F"/>
    <w:rsid w:val="4CBB5870"/>
    <w:rsid w:val="4CFC1B5C"/>
    <w:rsid w:val="4D7D33AF"/>
    <w:rsid w:val="4D9F1366"/>
    <w:rsid w:val="4DBF769C"/>
    <w:rsid w:val="4DD053B8"/>
    <w:rsid w:val="4DE15652"/>
    <w:rsid w:val="4E233B3D"/>
    <w:rsid w:val="4E566916"/>
    <w:rsid w:val="4E5C081F"/>
    <w:rsid w:val="4F932A9A"/>
    <w:rsid w:val="4F942E6F"/>
    <w:rsid w:val="4FA15633"/>
    <w:rsid w:val="4FE1061B"/>
    <w:rsid w:val="4FE57021"/>
    <w:rsid w:val="519A53EE"/>
    <w:rsid w:val="51CF7E46"/>
    <w:rsid w:val="51E235E4"/>
    <w:rsid w:val="51F27101"/>
    <w:rsid w:val="527D59E1"/>
    <w:rsid w:val="52B95845"/>
    <w:rsid w:val="52BE5550"/>
    <w:rsid w:val="532757AA"/>
    <w:rsid w:val="53851A96"/>
    <w:rsid w:val="53CA5AC1"/>
    <w:rsid w:val="53E21E30"/>
    <w:rsid w:val="53E52DB4"/>
    <w:rsid w:val="53FC29DA"/>
    <w:rsid w:val="54103BF9"/>
    <w:rsid w:val="549F406D"/>
    <w:rsid w:val="54DB67C4"/>
    <w:rsid w:val="552A4345"/>
    <w:rsid w:val="552F4050"/>
    <w:rsid w:val="554B22FB"/>
    <w:rsid w:val="55A72A15"/>
    <w:rsid w:val="5735569F"/>
    <w:rsid w:val="57746489"/>
    <w:rsid w:val="579334BA"/>
    <w:rsid w:val="57952240"/>
    <w:rsid w:val="57B66EF2"/>
    <w:rsid w:val="57DC4BB3"/>
    <w:rsid w:val="58244FA7"/>
    <w:rsid w:val="58B7361D"/>
    <w:rsid w:val="58B8581B"/>
    <w:rsid w:val="58EE2472"/>
    <w:rsid w:val="591304B3"/>
    <w:rsid w:val="591E42C6"/>
    <w:rsid w:val="594453FF"/>
    <w:rsid w:val="59481887"/>
    <w:rsid w:val="59E04384"/>
    <w:rsid w:val="5AE625AD"/>
    <w:rsid w:val="5B1024F7"/>
    <w:rsid w:val="5B5176DD"/>
    <w:rsid w:val="5BE1154B"/>
    <w:rsid w:val="5C2667BC"/>
    <w:rsid w:val="5C402BE9"/>
    <w:rsid w:val="5CB42BA8"/>
    <w:rsid w:val="5CC10BB9"/>
    <w:rsid w:val="5D082632"/>
    <w:rsid w:val="5D951E96"/>
    <w:rsid w:val="5DFD2B3F"/>
    <w:rsid w:val="5E0E085B"/>
    <w:rsid w:val="5E230800"/>
    <w:rsid w:val="5E3F0130"/>
    <w:rsid w:val="5EB55B71"/>
    <w:rsid w:val="5EBD517B"/>
    <w:rsid w:val="5F8C2351"/>
    <w:rsid w:val="5FA650F9"/>
    <w:rsid w:val="6024724C"/>
    <w:rsid w:val="60495F87"/>
    <w:rsid w:val="60736DCB"/>
    <w:rsid w:val="60CE3C62"/>
    <w:rsid w:val="60E42582"/>
    <w:rsid w:val="610B0243"/>
    <w:rsid w:val="617B3D7A"/>
    <w:rsid w:val="6198332B"/>
    <w:rsid w:val="62C63D9D"/>
    <w:rsid w:val="62CF1CB5"/>
    <w:rsid w:val="63201EAD"/>
    <w:rsid w:val="634F7179"/>
    <w:rsid w:val="63C55EBE"/>
    <w:rsid w:val="63FD6018"/>
    <w:rsid w:val="64056CA7"/>
    <w:rsid w:val="643519F5"/>
    <w:rsid w:val="65326415"/>
    <w:rsid w:val="6569656F"/>
    <w:rsid w:val="657F6514"/>
    <w:rsid w:val="65DC302A"/>
    <w:rsid w:val="65F63BD4"/>
    <w:rsid w:val="663911C6"/>
    <w:rsid w:val="67261D48"/>
    <w:rsid w:val="67425DF4"/>
    <w:rsid w:val="681755F4"/>
    <w:rsid w:val="68B86C5B"/>
    <w:rsid w:val="68BE0B64"/>
    <w:rsid w:val="68E1201D"/>
    <w:rsid w:val="68F25FE5"/>
    <w:rsid w:val="69842EAC"/>
    <w:rsid w:val="69900EBC"/>
    <w:rsid w:val="6A752434"/>
    <w:rsid w:val="6A7768F5"/>
    <w:rsid w:val="6AA11FFE"/>
    <w:rsid w:val="6AA8778B"/>
    <w:rsid w:val="6B085226"/>
    <w:rsid w:val="6B3959F5"/>
    <w:rsid w:val="6BB56643"/>
    <w:rsid w:val="6BDF5289"/>
    <w:rsid w:val="6C022EBF"/>
    <w:rsid w:val="6C1369DD"/>
    <w:rsid w:val="6C213774"/>
    <w:rsid w:val="6C25217A"/>
    <w:rsid w:val="6C355C98"/>
    <w:rsid w:val="6C9327AE"/>
    <w:rsid w:val="6D000BE4"/>
    <w:rsid w:val="6D4E2EE1"/>
    <w:rsid w:val="6D87653E"/>
    <w:rsid w:val="6D9013CC"/>
    <w:rsid w:val="6E457BF6"/>
    <w:rsid w:val="6E47697D"/>
    <w:rsid w:val="6EB02B29"/>
    <w:rsid w:val="6EC304C5"/>
    <w:rsid w:val="6EDB5B6B"/>
    <w:rsid w:val="6F607449"/>
    <w:rsid w:val="6FA73FBA"/>
    <w:rsid w:val="6FD8258B"/>
    <w:rsid w:val="709D6E51"/>
    <w:rsid w:val="70A5645C"/>
    <w:rsid w:val="70F21ECD"/>
    <w:rsid w:val="717E613F"/>
    <w:rsid w:val="71D36ECE"/>
    <w:rsid w:val="71E41366"/>
    <w:rsid w:val="71E5266B"/>
    <w:rsid w:val="723F3FFF"/>
    <w:rsid w:val="733A771A"/>
    <w:rsid w:val="737A2701"/>
    <w:rsid w:val="738C041D"/>
    <w:rsid w:val="74697E0C"/>
    <w:rsid w:val="74804397"/>
    <w:rsid w:val="74940C50"/>
    <w:rsid w:val="74A4476D"/>
    <w:rsid w:val="74B62489"/>
    <w:rsid w:val="74C35F1C"/>
    <w:rsid w:val="7519692A"/>
    <w:rsid w:val="7591786E"/>
    <w:rsid w:val="75C42647"/>
    <w:rsid w:val="75E108F2"/>
    <w:rsid w:val="75E450FA"/>
    <w:rsid w:val="766D5F57"/>
    <w:rsid w:val="778238A1"/>
    <w:rsid w:val="77BE2401"/>
    <w:rsid w:val="77CE269B"/>
    <w:rsid w:val="77D558AA"/>
    <w:rsid w:val="78484564"/>
    <w:rsid w:val="78574B7E"/>
    <w:rsid w:val="78AB4608"/>
    <w:rsid w:val="78F6480B"/>
    <w:rsid w:val="79443502"/>
    <w:rsid w:val="797B5BDA"/>
    <w:rsid w:val="79B00633"/>
    <w:rsid w:val="79DB277C"/>
    <w:rsid w:val="79FE2930"/>
    <w:rsid w:val="7A211BEB"/>
    <w:rsid w:val="7A2B7F7C"/>
    <w:rsid w:val="7B3274AA"/>
    <w:rsid w:val="7B76251D"/>
    <w:rsid w:val="7BDD7943"/>
    <w:rsid w:val="7E423935"/>
    <w:rsid w:val="7E4435B5"/>
    <w:rsid w:val="7E653AE9"/>
    <w:rsid w:val="7E8C502E"/>
    <w:rsid w:val="7F3E7050"/>
    <w:rsid w:val="7F9709E3"/>
    <w:rsid w:val="7FCE693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jc w:val="center"/>
      <w:outlineLvl w:val="0"/>
    </w:pPr>
    <w:rPr>
      <w:rFonts w:ascii="Times New Roman" w:hAnsi="Times New Roman" w:eastAsia="黑体"/>
      <w:kern w:val="44"/>
      <w:sz w:val="32"/>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jc w:val="center"/>
      <w:outlineLvl w:val="1"/>
    </w:pPr>
    <w:rPr>
      <w:rFonts w:ascii="Arial" w:hAnsi="Arial" w:eastAsia="楷体"/>
      <w:b/>
      <w:sz w:val="32"/>
    </w:rPr>
  </w:style>
  <w:style w:type="character" w:default="1" w:styleId="8">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toc 1"/>
    <w:basedOn w:val="1"/>
    <w:next w:val="1"/>
    <w:qFormat/>
    <w:uiPriority w:val="0"/>
    <w:rPr>
      <w:rFonts w:ascii="Times New Roman" w:hAnsi="Times New Roman"/>
      <w:b/>
      <w:sz w:val="32"/>
    </w:rPr>
  </w:style>
  <w:style w:type="paragraph" w:styleId="7">
    <w:name w:val="toc 2"/>
    <w:basedOn w:val="1"/>
    <w:next w:val="1"/>
    <w:qFormat/>
    <w:uiPriority w:val="0"/>
    <w:pPr>
      <w:ind w:left="420" w:leftChars="200"/>
    </w:pPr>
    <w:rPr>
      <w:rFonts w:ascii="Times New Roman" w:hAnsi="Times New Roman"/>
      <w:sz w:val="32"/>
    </w:rPr>
  </w:style>
  <w:style w:type="character" w:styleId="9">
    <w:name w:val="page number"/>
    <w:basedOn w:val="8"/>
    <w:qFormat/>
    <w:uiPriority w:val="0"/>
  </w:style>
  <w:style w:type="character" w:styleId="10">
    <w:name w:val="Hyperlink"/>
    <w:basedOn w:val="8"/>
    <w:qFormat/>
    <w:uiPriority w:val="0"/>
    <w:rPr>
      <w:color w:val="0000FF"/>
      <w:u w:val="single"/>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paragraph" w:customStyle="1" w:styleId="13">
    <w:name w:val="_Style 1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3.jpeg"/><Relationship Id="rId13" Type="http://schemas.openxmlformats.org/officeDocument/2006/relationships/image" Target="media/image2.jpe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65</Pages>
  <Words>32058</Words>
  <Characters>32938</Characters>
  <Lines>0</Lines>
  <Paragraphs>0</Paragraphs>
  <ScaleCrop>false</ScaleCrop>
  <LinksUpToDate>false</LinksUpToDate>
  <CharactersWithSpaces>0</CharactersWithSpaces>
  <Application>WPS Office_10.1.0.5400_F1E327BC-269C-435d-A152-05C5408002CA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2015-12-14T05:41:00Z</cp:lastPrinted>
  <dcterms:modified xsi:type="dcterms:W3CDTF">2015-12-16T01:22:02Z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2052-10.1.0.5400</vt:lpwstr>
  </property>
</Properties>
</file>